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AC" w:rsidRPr="00AA121C" w:rsidRDefault="006430AC" w:rsidP="0042537D">
      <w:pPr>
        <w:spacing w:before="120" w:after="120"/>
        <w:jc w:val="left"/>
        <w:rPr>
          <w:sz w:val="32"/>
          <w:szCs w:val="32"/>
          <w:lang w:eastAsia="hu-HU"/>
        </w:rPr>
      </w:pPr>
      <w:r w:rsidRPr="00F31610">
        <w:rPr>
          <w:i/>
          <w:iCs/>
          <w:u w:val="single"/>
          <w:lang w:eastAsia="hu-HU"/>
        </w:rPr>
        <w:t>2. melléklet a 44/2015. (XI. 2.) MvM rendelethez</w:t>
      </w:r>
      <w:r>
        <w:rPr>
          <w:lang w:eastAsia="hu-HU"/>
        </w:rPr>
        <w:t xml:space="preserve">    </w:t>
      </w:r>
      <w:r>
        <w:rPr>
          <w:sz w:val="32"/>
          <w:szCs w:val="32"/>
          <w:lang w:eastAsia="hu-HU"/>
        </w:rPr>
        <w:t>ELŐTERJESZTÉS 1.MELLÉKLET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sz w:val="44"/>
          <w:szCs w:val="44"/>
          <w:lang w:eastAsia="hu-HU"/>
        </w:rPr>
        <w:t>KÖZBESZERZÉSI ÉRTESÍTŐ</w:t>
      </w:r>
    </w:p>
    <w:p w:rsidR="006430AC" w:rsidRPr="00F31610" w:rsidRDefault="006430AC" w:rsidP="0042537D">
      <w:pPr>
        <w:spacing w:before="120" w:after="120"/>
        <w:ind w:hanging="20"/>
        <w:jc w:val="left"/>
        <w:rPr>
          <w:lang w:eastAsia="hu-HU"/>
        </w:rPr>
      </w:pPr>
      <w:r w:rsidRPr="00F31610">
        <w:rPr>
          <w:sz w:val="18"/>
          <w:szCs w:val="18"/>
          <w:lang w:eastAsia="hu-HU"/>
        </w:rPr>
        <w:t>a Közbeszerzési Hatóság Hivatalos Lapja</w:t>
      </w:r>
    </w:p>
    <w:p w:rsidR="006430AC" w:rsidRPr="00F31610" w:rsidRDefault="006430AC" w:rsidP="0042537D">
      <w:pPr>
        <w:spacing w:before="120" w:after="120"/>
        <w:jc w:val="right"/>
        <w:rPr>
          <w:lang w:eastAsia="hu-HU"/>
        </w:rPr>
      </w:pPr>
      <w:r w:rsidRPr="00F31610">
        <w:rPr>
          <w:b/>
          <w:bCs/>
          <w:sz w:val="40"/>
          <w:szCs w:val="40"/>
          <w:lang w:eastAsia="hu-HU"/>
        </w:rPr>
        <w:t>Ajánlati/részvételi felhívás</w:t>
      </w:r>
    </w:p>
    <w:p w:rsidR="006430AC" w:rsidRPr="00F31610" w:rsidRDefault="006430AC" w:rsidP="0042537D">
      <w:pPr>
        <w:spacing w:before="120" w:after="120"/>
        <w:jc w:val="right"/>
        <w:rPr>
          <w:lang w:eastAsia="hu-HU"/>
        </w:rPr>
      </w:pPr>
      <w:r w:rsidRPr="00F31610">
        <w:rPr>
          <w:i/>
          <w:iCs/>
          <w:sz w:val="18"/>
          <w:szCs w:val="18"/>
          <w:lang w:eastAsia="hu-HU"/>
        </w:rPr>
        <w:t>A Kbt. 112. § (1) bekezdés b) pont szerinti eljárások esetében.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sz w:val="28"/>
          <w:szCs w:val="28"/>
          <w:lang w:eastAsia="hu-HU"/>
        </w:rPr>
        <w:t>I. szakasz: Ajánlatkérő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 xml:space="preserve">I.1) Név és címek </w:t>
      </w:r>
      <w:r w:rsidRPr="00F31610">
        <w:rPr>
          <w:sz w:val="18"/>
          <w:szCs w:val="18"/>
          <w:vertAlign w:val="superscript"/>
          <w:lang w:eastAsia="hu-HU"/>
        </w:rPr>
        <w:t>1</w:t>
      </w:r>
      <w:r w:rsidRPr="00F31610">
        <w:rPr>
          <w:lang w:eastAsia="hu-HU"/>
        </w:rPr>
        <w:t xml:space="preserve"> </w:t>
      </w:r>
      <w:r w:rsidRPr="00F31610">
        <w:rPr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15"/>
        <w:gridCol w:w="2230"/>
        <w:gridCol w:w="2165"/>
        <w:gridCol w:w="2485"/>
      </w:tblGrid>
      <w:tr w:rsidR="006430AC" w:rsidRPr="00F31610">
        <w:tc>
          <w:tcPr>
            <w:tcW w:w="7310" w:type="dxa"/>
            <w:gridSpan w:val="3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Hivatalos név: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8F4753">
              <w:rPr>
                <w:color w:val="0000CC"/>
                <w:shd w:val="clear" w:color="auto" w:fill="FFFFFF"/>
              </w:rPr>
              <w:t>Zirci Járás Önkormányzati Társulása</w:t>
            </w:r>
          </w:p>
        </w:tc>
        <w:tc>
          <w:tcPr>
            <w:tcW w:w="2485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B3FC8">
              <w:rPr>
                <w:color w:val="0000CC"/>
                <w:shd w:val="clear" w:color="auto" w:fill="FFFFFF"/>
              </w:rPr>
              <w:t>AK24129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RPr="00F31610">
        <w:tc>
          <w:tcPr>
            <w:tcW w:w="0" w:type="auto"/>
            <w:gridSpan w:val="4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Postai cím: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2B3FC8">
              <w:rPr>
                <w:color w:val="0000CC"/>
                <w:shd w:val="clear" w:color="auto" w:fill="FFFFFF"/>
              </w:rPr>
              <w:t>Március 15. tér 1.</w:t>
            </w:r>
          </w:p>
        </w:tc>
      </w:tr>
      <w:tr w:rsidR="006430AC" w:rsidRPr="00F31610">
        <w:tc>
          <w:tcPr>
            <w:tcW w:w="2915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Város: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2B3FC8">
              <w:rPr>
                <w:color w:val="0000CC"/>
                <w:shd w:val="clear" w:color="auto" w:fill="FFFFFF"/>
              </w:rPr>
              <w:t>Zirc</w:t>
            </w:r>
          </w:p>
        </w:tc>
        <w:tc>
          <w:tcPr>
            <w:tcW w:w="2230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NUTS-kód: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2B3FC8"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Postai irányítószám: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2B3FC8">
              <w:rPr>
                <w:color w:val="0000CC"/>
                <w:shd w:val="clear" w:color="auto" w:fill="FFFFFF"/>
              </w:rPr>
              <w:t>8420</w:t>
            </w:r>
          </w:p>
        </w:tc>
        <w:tc>
          <w:tcPr>
            <w:tcW w:w="2485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Ország: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2B3FC8"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RPr="00891FDE">
        <w:tc>
          <w:tcPr>
            <w:tcW w:w="7310" w:type="dxa"/>
            <w:gridSpan w:val="3"/>
          </w:tcPr>
          <w:p w:rsidR="006430AC" w:rsidRPr="00891FDE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891FDE"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891FDE">
              <w:rPr>
                <w:color w:val="0000CC"/>
                <w:shd w:val="clear" w:color="auto" w:fill="FFFFFF"/>
              </w:rPr>
              <w:t>Ottó Péter társulási tanács elnöke</w:t>
            </w:r>
          </w:p>
        </w:tc>
        <w:tc>
          <w:tcPr>
            <w:tcW w:w="2485" w:type="dxa"/>
          </w:tcPr>
          <w:p w:rsidR="006430AC" w:rsidRPr="00891FDE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891FDE">
              <w:rPr>
                <w:sz w:val="18"/>
                <w:szCs w:val="18"/>
                <w:lang w:eastAsia="hu-HU"/>
              </w:rPr>
              <w:t xml:space="preserve">Telefon: </w:t>
            </w:r>
            <w:r w:rsidRPr="00891FDE">
              <w:rPr>
                <w:color w:val="0000CC"/>
                <w:shd w:val="clear" w:color="auto" w:fill="FFFFFF"/>
              </w:rPr>
              <w:t>+36 88593700</w:t>
            </w:r>
          </w:p>
        </w:tc>
      </w:tr>
      <w:tr w:rsidR="006430AC" w:rsidRPr="00891FDE">
        <w:tc>
          <w:tcPr>
            <w:tcW w:w="7310" w:type="dxa"/>
            <w:gridSpan w:val="3"/>
          </w:tcPr>
          <w:p w:rsidR="006430AC" w:rsidRPr="00891FDE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891FDE">
              <w:rPr>
                <w:sz w:val="18"/>
                <w:szCs w:val="18"/>
                <w:lang w:eastAsia="hu-HU"/>
              </w:rPr>
              <w:t xml:space="preserve">E-mail: </w:t>
            </w:r>
            <w:r w:rsidRPr="00891FDE">
              <w:rPr>
                <w:color w:val="0000CC"/>
                <w:shd w:val="clear" w:color="auto" w:fill="FFFFFF"/>
              </w:rPr>
              <w:t>pmh@zirc.hu</w:t>
            </w:r>
          </w:p>
        </w:tc>
        <w:tc>
          <w:tcPr>
            <w:tcW w:w="2485" w:type="dxa"/>
          </w:tcPr>
          <w:p w:rsidR="006430AC" w:rsidRPr="00891FDE" w:rsidRDefault="006430AC" w:rsidP="00C55010">
            <w:pPr>
              <w:spacing w:before="120" w:after="120"/>
              <w:jc w:val="left"/>
              <w:rPr>
                <w:lang w:eastAsia="hu-HU"/>
              </w:rPr>
            </w:pPr>
            <w:r w:rsidRPr="00891FDE">
              <w:rPr>
                <w:sz w:val="18"/>
                <w:szCs w:val="18"/>
                <w:lang w:eastAsia="hu-HU"/>
              </w:rPr>
              <w:t xml:space="preserve">Fax: </w:t>
            </w:r>
            <w:r w:rsidRPr="00891FDE">
              <w:rPr>
                <w:color w:val="0000CC"/>
                <w:shd w:val="clear" w:color="auto" w:fill="FFFFFF"/>
              </w:rPr>
              <w:t>+36 88414475</w:t>
            </w:r>
          </w:p>
        </w:tc>
      </w:tr>
      <w:tr w:rsidR="006430AC" w:rsidRPr="00F31610">
        <w:tc>
          <w:tcPr>
            <w:tcW w:w="0" w:type="auto"/>
            <w:gridSpan w:val="4"/>
          </w:tcPr>
          <w:p w:rsidR="006430AC" w:rsidRPr="00891FDE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891FDE"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Pr="00891FDE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891FDE"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 w:rsidRPr="00891FDE"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hyperlink r:id="rId7" w:history="1">
              <w:r w:rsidRPr="00891FDE">
                <w:rPr>
                  <w:color w:val="0000CC"/>
                  <w:shd w:val="clear" w:color="auto" w:fill="FFFFFF"/>
                </w:rPr>
                <w:t>www.zirc.hu</w:t>
              </w:r>
            </w:hyperlink>
          </w:p>
          <w:p w:rsidR="006430AC" w:rsidRPr="00891FDE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891FDE">
              <w:rPr>
                <w:sz w:val="18"/>
                <w:szCs w:val="18"/>
                <w:lang w:eastAsia="hu-HU"/>
              </w:rPr>
              <w:t xml:space="preserve">A felhasználói oldal címe: </w:t>
            </w:r>
            <w:r w:rsidRPr="00891FDE"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RPr="008F4753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Hivatalos név: </w:t>
            </w:r>
            <w:r w:rsidRPr="008F4753">
              <w:rPr>
                <w:color w:val="0000CC"/>
                <w:shd w:val="clear" w:color="auto" w:fill="FFFFFF"/>
              </w:rPr>
              <w:t>Bakonybél Község Önkormányzata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>Nemzeti azonosítószám:</w:t>
            </w:r>
            <w:r w:rsidRPr="008F47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F4753">
              <w:rPr>
                <w:color w:val="0000CC"/>
                <w:shd w:val="clear" w:color="auto" w:fill="FFFFFF"/>
              </w:rPr>
              <w:t>AK</w:t>
            </w:r>
            <w:r>
              <w:rPr>
                <w:color w:val="0000CC"/>
                <w:shd w:val="clear" w:color="auto" w:fill="FFFFFF"/>
              </w:rPr>
              <w:t>……………</w:t>
            </w:r>
            <w:r w:rsidRPr="008F4753">
              <w:rPr>
                <w:sz w:val="18"/>
                <w:szCs w:val="18"/>
                <w:lang w:eastAsia="hu-HU"/>
              </w:rPr>
              <w:t xml:space="preserve"> </w:t>
            </w:r>
            <w:r w:rsidRPr="008F4753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RPr="008F4753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Postai cím: </w:t>
            </w:r>
            <w:r w:rsidRPr="008F4753">
              <w:rPr>
                <w:color w:val="0000CC"/>
                <w:shd w:val="clear" w:color="auto" w:fill="FFFFFF"/>
              </w:rPr>
              <w:t>Pápai utca 7.</w:t>
            </w:r>
          </w:p>
        </w:tc>
      </w:tr>
      <w:tr w:rsidR="006430AC" w:rsidRPr="008F4753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Város: </w:t>
            </w:r>
            <w:r w:rsidRPr="008F4753">
              <w:rPr>
                <w:color w:val="0000CC"/>
                <w:shd w:val="clear" w:color="auto" w:fill="FFFFFF"/>
              </w:rPr>
              <w:t>Bakonybél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NUTS-kód: </w:t>
            </w:r>
            <w:r w:rsidRPr="008F4753"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8F4753">
              <w:rPr>
                <w:color w:val="0000CC"/>
                <w:shd w:val="clear" w:color="auto" w:fill="FFFFFF"/>
              </w:rPr>
              <w:t>8427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Ország: </w:t>
            </w:r>
            <w:r w:rsidRPr="008F4753"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RPr="008F4753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8F4753">
              <w:rPr>
                <w:color w:val="0000CC"/>
                <w:shd w:val="clear" w:color="auto" w:fill="FFFFFF"/>
              </w:rPr>
              <w:t>Márkus Zoltán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Telefon: </w:t>
            </w:r>
            <w:r w:rsidRPr="008F4753">
              <w:rPr>
                <w:color w:val="0000CC"/>
                <w:shd w:val="clear" w:color="auto" w:fill="FFFFFF"/>
              </w:rPr>
              <w:t>+36 88</w:t>
            </w:r>
            <w:r>
              <w:rPr>
                <w:color w:val="0000CC"/>
                <w:shd w:val="clear" w:color="auto" w:fill="FFFFFF"/>
              </w:rPr>
              <w:t>………..</w:t>
            </w:r>
          </w:p>
        </w:tc>
      </w:tr>
      <w:tr w:rsidR="006430AC" w:rsidRPr="008F4753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E-mail: </w:t>
            </w:r>
            <w:r w:rsidRPr="008F4753"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 w:rsidP="008F4753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Fax: </w:t>
            </w:r>
            <w:r w:rsidRPr="008F4753">
              <w:rPr>
                <w:color w:val="0000CC"/>
                <w:shd w:val="clear" w:color="auto" w:fill="FFFFFF"/>
              </w:rPr>
              <w:t>+36 88</w:t>
            </w:r>
            <w:r>
              <w:rPr>
                <w:color w:val="0000CC"/>
                <w:shd w:val="clear" w:color="auto" w:fill="FFFFFF"/>
              </w:rPr>
              <w:t>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Pr="008F4753" w:rsidRDefault="006430AC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Pr="008F4753" w:rsidRDefault="006430AC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 w:rsidRPr="008F4753"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 w:rsidRPr="008F4753">
              <w:rPr>
                <w:color w:val="0000CC"/>
                <w:shd w:val="clear" w:color="auto" w:fill="FFFFFF"/>
              </w:rPr>
              <w:t>……………………………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 w:rsidRPr="008F4753">
              <w:rPr>
                <w:sz w:val="18"/>
                <w:szCs w:val="18"/>
                <w:lang w:eastAsia="hu-HU"/>
              </w:rPr>
              <w:t xml:space="preserve">A felhasználói oldal címe: </w:t>
            </w:r>
            <w:r w:rsidRPr="008F4753"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A015DB">
              <w:rPr>
                <w:color w:val="0000CC"/>
                <w:shd w:val="clear" w:color="auto" w:fill="FFFFFF"/>
              </w:rPr>
              <w:t>Bakonynána Község</w:t>
            </w:r>
            <w:r>
              <w:rPr>
                <w:color w:val="0000CC"/>
                <w:shd w:val="clear" w:color="auto" w:fill="FFFFFF"/>
              </w:rPr>
              <w:t>i</w:t>
            </w:r>
            <w:r w:rsidRPr="00A015DB">
              <w:rPr>
                <w:color w:val="0000CC"/>
                <w:shd w:val="clear" w:color="auto" w:fill="FFFFFF"/>
              </w:rPr>
              <w:t xml:space="preserve"> Önkormányzat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A015DB">
              <w:rPr>
                <w:color w:val="0000CC"/>
                <w:shd w:val="clear" w:color="auto" w:fill="FFFFFF"/>
              </w:rPr>
              <w:t>Alkotmány utca 3.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A015DB">
              <w:rPr>
                <w:color w:val="0000CC"/>
                <w:shd w:val="clear" w:color="auto" w:fill="FFFFFF"/>
              </w:rPr>
              <w:t>Bakonynána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A015DB">
              <w:rPr>
                <w:color w:val="0000CC"/>
                <w:shd w:val="clear" w:color="auto" w:fill="FFFFFF"/>
              </w:rPr>
              <w:t>8422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A015DB">
              <w:rPr>
                <w:color w:val="0000CC"/>
                <w:shd w:val="clear" w:color="auto" w:fill="FFFFFF"/>
              </w:rPr>
              <w:t>Bierbaum Adrienn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 w:rsidRPr="008F4753"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A015DB">
              <w:rPr>
                <w:color w:val="0000CC"/>
                <w:shd w:val="clear" w:color="auto" w:fill="FFFFFF"/>
              </w:rPr>
              <w:t>Bakonyoszlop Község</w:t>
            </w:r>
            <w:r>
              <w:rPr>
                <w:color w:val="0000CC"/>
                <w:shd w:val="clear" w:color="auto" w:fill="FFFFFF"/>
              </w:rPr>
              <w:t>i</w:t>
            </w:r>
            <w:r w:rsidRPr="00A015DB">
              <w:rPr>
                <w:color w:val="0000CC"/>
                <w:shd w:val="clear" w:color="auto" w:fill="FFFFFF"/>
              </w:rPr>
              <w:t xml:space="preserve"> Önkormányzat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A015DB">
              <w:rPr>
                <w:color w:val="0000CC"/>
                <w:shd w:val="clear" w:color="auto" w:fill="FFFFFF"/>
              </w:rPr>
              <w:t>Kossuth Lajos út. 32.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A015DB">
              <w:rPr>
                <w:color w:val="0000CC"/>
                <w:shd w:val="clear" w:color="auto" w:fill="FFFFFF"/>
              </w:rPr>
              <w:t>Bakonyoszlop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A015DB">
              <w:rPr>
                <w:color w:val="0000CC"/>
                <w:shd w:val="clear" w:color="auto" w:fill="FFFFFF"/>
              </w:rPr>
              <w:t>8418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Kapcsolattartó személy:</w:t>
            </w:r>
            <w:r>
              <w:t xml:space="preserve"> </w:t>
            </w:r>
            <w:r w:rsidRPr="00A015DB">
              <w:rPr>
                <w:color w:val="0000CC"/>
                <w:shd w:val="clear" w:color="auto" w:fill="FFFFFF"/>
              </w:rPr>
              <w:t>ifj. Wolf Ferenc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A015DB">
              <w:rPr>
                <w:color w:val="0000CC"/>
                <w:shd w:val="clear" w:color="auto" w:fill="FFFFFF"/>
              </w:rPr>
              <w:t>Bakonyszentkirály Község</w:t>
            </w:r>
            <w:r>
              <w:rPr>
                <w:color w:val="0000CC"/>
                <w:shd w:val="clear" w:color="auto" w:fill="FFFFFF"/>
              </w:rPr>
              <w:t>i</w:t>
            </w:r>
            <w:r w:rsidRPr="00A015DB">
              <w:rPr>
                <w:color w:val="0000CC"/>
                <w:shd w:val="clear" w:color="auto" w:fill="FFFFFF"/>
              </w:rPr>
              <w:t xml:space="preserve"> Önkormányzat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A015DB">
              <w:rPr>
                <w:color w:val="0000CC"/>
                <w:shd w:val="clear" w:color="auto" w:fill="FFFFFF"/>
              </w:rPr>
              <w:t>Kossuth 69.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A015DB">
              <w:rPr>
                <w:color w:val="0000CC"/>
                <w:shd w:val="clear" w:color="auto" w:fill="FFFFFF"/>
              </w:rPr>
              <w:t>Bakonyszentkirály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A015DB">
              <w:rPr>
                <w:color w:val="0000CC"/>
                <w:shd w:val="clear" w:color="auto" w:fill="FFFFFF"/>
              </w:rPr>
              <w:t>8430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A015DB">
              <w:rPr>
                <w:color w:val="0000CC"/>
                <w:shd w:val="clear" w:color="auto" w:fill="FFFFFF"/>
              </w:rPr>
              <w:t>Csillag Zoltán</w:t>
            </w:r>
            <w:r w:rsidRPr="00A015DB"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Borzavár Község</w:t>
            </w:r>
            <w:r>
              <w:rPr>
                <w:color w:val="0000CC"/>
                <w:shd w:val="clear" w:color="auto" w:fill="FFFFFF"/>
              </w:rPr>
              <w:t>i</w:t>
            </w:r>
            <w:r w:rsidRPr="0073131A">
              <w:rPr>
                <w:color w:val="0000CC"/>
                <w:shd w:val="clear" w:color="auto" w:fill="FFFFFF"/>
              </w:rPr>
              <w:t xml:space="preserve"> Önkormányzat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Fő u. 43.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Borzavár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8428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Dócziné Belecz Ágnes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Csesznek Község</w:t>
            </w:r>
            <w:r>
              <w:rPr>
                <w:color w:val="0000CC"/>
                <w:shd w:val="clear" w:color="auto" w:fill="FFFFFF"/>
              </w:rPr>
              <w:t>i</w:t>
            </w:r>
            <w:r w:rsidRPr="0073131A">
              <w:rPr>
                <w:color w:val="0000CC"/>
                <w:shd w:val="clear" w:color="auto" w:fill="FFFFFF"/>
              </w:rPr>
              <w:t xml:space="preserve"> Önkormányzat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Vár u. 42.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Csesznek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8419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Trieblné Stanka Éva Renáta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Csetény Község Önkormányzata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Rákóczi utca 30.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Csetény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8417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Kapcsolattartó személy:</w:t>
            </w:r>
            <w:r>
              <w:t xml:space="preserve"> </w:t>
            </w:r>
            <w:r w:rsidRPr="0073131A">
              <w:rPr>
                <w:color w:val="0000CC"/>
                <w:shd w:val="clear" w:color="auto" w:fill="FFFFFF"/>
              </w:rPr>
              <w:t>Nagy Attila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Dudar Község Önkormányzata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Rákóczi u. 19</w:t>
            </w:r>
            <w:r>
              <w:rPr>
                <w:color w:val="0000CC"/>
                <w:shd w:val="clear" w:color="auto" w:fill="FFFFFF"/>
              </w:rPr>
              <w:t>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Dudar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8416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Tóth Edina Kitti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Lókút Község Önkormányzata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Bem József utca 25.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Lókút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8425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Surányi Mihály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Nagyesztergár Község Önkormányzata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Radnóti Miklós u. 2.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Nagyesztergár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8415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Szelthofferné Németh Ilona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Olaszfalu Község Önkormányzata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Váci Mihály u. 17.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Olaszfalu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8414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Boriszné Hanich Edit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Pénzesgyőr Község Önkormányzata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Fő u. 41.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Pénzesgyőr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8426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Hajós Ákos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Porva Község</w:t>
            </w:r>
            <w:r>
              <w:rPr>
                <w:color w:val="0000CC"/>
                <w:shd w:val="clear" w:color="auto" w:fill="FFFFFF"/>
              </w:rPr>
              <w:t>i</w:t>
            </w:r>
            <w:r w:rsidRPr="0073131A">
              <w:rPr>
                <w:color w:val="0000CC"/>
                <w:shd w:val="clear" w:color="auto" w:fill="FFFFFF"/>
              </w:rPr>
              <w:t xml:space="preserve"> Önkormányzat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Kőrishegy u. 10.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Porva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8429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Veinperlné Kovács Andrea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Szápár Község Önkormányzata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Rákóczi utca 2.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Szápár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8423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Kapcsolattartó személy</w:t>
            </w:r>
            <w:r w:rsidRPr="0073131A">
              <w:rPr>
                <w:color w:val="0000CC"/>
                <w:shd w:val="clear" w:color="auto" w:fill="FFFFFF"/>
              </w:rPr>
              <w:t xml:space="preserve">: Bálintné Schmidt Ildikó </w:t>
            </w:r>
            <w:r>
              <w:rPr>
                <w:color w:val="0000CC"/>
                <w:shd w:val="clear" w:color="auto" w:fill="FFFFFF"/>
              </w:rPr>
              <w:t>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 w:rsidP="00DF3809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88/………..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88………..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r>
              <w:rPr>
                <w:color w:val="0000CC"/>
                <w:shd w:val="clear" w:color="auto" w:fill="FFFFFF"/>
              </w:rPr>
              <w:t>………………….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230"/>
        <w:gridCol w:w="2165"/>
        <w:gridCol w:w="2485"/>
      </w:tblGrid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Hivatalos név: </w:t>
            </w:r>
            <w:r w:rsidRPr="0073131A">
              <w:rPr>
                <w:color w:val="0000CC"/>
                <w:shd w:val="clear" w:color="auto" w:fill="FFFFFF"/>
              </w:rPr>
              <w:t>Zirc Városi Önkormányzat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CC"/>
                <w:shd w:val="clear" w:color="auto" w:fill="FFFFFF"/>
              </w:rPr>
              <w:t>AK……………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cím: </w:t>
            </w:r>
            <w:r w:rsidRPr="0073131A">
              <w:rPr>
                <w:color w:val="0000CC"/>
                <w:shd w:val="clear" w:color="auto" w:fill="FFFFFF"/>
              </w:rPr>
              <w:t>Március 15. tér 1.</w:t>
            </w:r>
          </w:p>
        </w:tc>
      </w:tr>
      <w:tr w:rsidR="006430AC" w:rsidTr="008F4753"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Város: </w:t>
            </w:r>
            <w:r w:rsidRPr="0073131A">
              <w:rPr>
                <w:color w:val="0000CC"/>
                <w:shd w:val="clear" w:color="auto" w:fill="FFFFFF"/>
              </w:rPr>
              <w:t>Zirc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NUTS-kód: </w:t>
            </w:r>
            <w:r>
              <w:rPr>
                <w:color w:val="0000CC"/>
                <w:shd w:val="clear" w:color="auto" w:fill="FFFFFF"/>
              </w:rPr>
              <w:t>HU213</w:t>
            </w:r>
          </w:p>
        </w:tc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Postai irányítószám: </w:t>
            </w:r>
            <w:r w:rsidRPr="0073131A">
              <w:rPr>
                <w:color w:val="0000CC"/>
                <w:shd w:val="clear" w:color="auto" w:fill="FFFFFF"/>
              </w:rPr>
              <w:t>8420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Ország: </w:t>
            </w:r>
            <w:r>
              <w:rPr>
                <w:color w:val="0000CC"/>
                <w:shd w:val="clear" w:color="auto" w:fill="FFFFFF"/>
              </w:rPr>
              <w:t>Magyarország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Kapcsolattartó személy: </w:t>
            </w:r>
            <w:r w:rsidRPr="0073131A">
              <w:rPr>
                <w:color w:val="0000CC"/>
                <w:shd w:val="clear" w:color="auto" w:fill="FFFFFF"/>
              </w:rPr>
              <w:t>Ottó Péter</w:t>
            </w:r>
            <w:r>
              <w:rPr>
                <w:color w:val="0000CC"/>
                <w:shd w:val="clear" w:color="auto" w:fill="FFFFFF"/>
              </w:rPr>
              <w:t xml:space="preserve"> polgármester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 w:rsidP="00DF3809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Telefon: </w:t>
            </w:r>
            <w:r>
              <w:rPr>
                <w:color w:val="0000CC"/>
                <w:shd w:val="clear" w:color="auto" w:fill="FFFFFF"/>
              </w:rPr>
              <w:t>+36 88593700</w:t>
            </w:r>
          </w:p>
        </w:tc>
      </w:tr>
      <w:tr w:rsidR="006430AC" w:rsidTr="008F4753">
        <w:tc>
          <w:tcPr>
            <w:tcW w:w="73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E-mail: </w:t>
            </w:r>
            <w:r>
              <w:rPr>
                <w:color w:val="0000CC"/>
                <w:shd w:val="clear" w:color="auto" w:fill="FFFFFF"/>
              </w:rPr>
              <w:t>pmh@zirc.hu</w:t>
            </w:r>
          </w:p>
        </w:tc>
        <w:tc>
          <w:tcPr>
            <w:tcW w:w="2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 w:rsidP="00DF3809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Fax: </w:t>
            </w:r>
            <w:r>
              <w:rPr>
                <w:color w:val="0000CC"/>
                <w:shd w:val="clear" w:color="auto" w:fill="FFFFFF"/>
              </w:rPr>
              <w:t>+36 88414475</w:t>
            </w:r>
          </w:p>
        </w:tc>
      </w:tr>
      <w:tr w:rsidR="006430AC" w:rsidTr="008F4753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(URL) </w:t>
            </w:r>
            <w:hyperlink r:id="rId8" w:history="1">
              <w:r>
                <w:rPr>
                  <w:rStyle w:val="Hyperlink"/>
                  <w:color w:val="0000CC"/>
                  <w:shd w:val="clear" w:color="auto" w:fill="FFFFFF"/>
                </w:rPr>
                <w:t>www.zirc.hu</w:t>
              </w:r>
            </w:hyperlink>
            <w:bookmarkStart w:id="0" w:name="_GoBack"/>
            <w:bookmarkEnd w:id="0"/>
          </w:p>
          <w:p w:rsidR="006430AC" w:rsidRDefault="006430AC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Default="006430AC" w:rsidP="0042537D">
      <w:pPr>
        <w:spacing w:before="120" w:after="120"/>
        <w:jc w:val="left"/>
        <w:rPr>
          <w:b/>
          <w:bCs/>
          <w:lang w:eastAsia="hu-HU"/>
        </w:rPr>
      </w:pP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B82571">
        <w:rPr>
          <w:b/>
          <w:bCs/>
          <w:lang w:eastAsia="hu-HU"/>
        </w:rPr>
        <w:t>I.2) Közös közbeszerzés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</w:tblGrid>
      <w:tr w:rsidR="006430AC" w:rsidRPr="00F31610">
        <w:tc>
          <w:tcPr>
            <w:tcW w:w="0" w:type="auto"/>
          </w:tcPr>
          <w:p w:rsidR="006430AC" w:rsidRPr="00B8257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color w:val="0000CC"/>
                <w:lang w:eastAsia="hu-HU"/>
              </w:rPr>
              <w:t>X</w:t>
            </w:r>
            <w:r w:rsidRPr="00B82571">
              <w:rPr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6430AC" w:rsidRPr="008F4753" w:rsidRDefault="006430AC" w:rsidP="0042537D">
            <w:pPr>
              <w:spacing w:before="120" w:after="120"/>
              <w:ind w:left="380"/>
              <w:jc w:val="left"/>
              <w:rPr>
                <w:lang w:eastAsia="hu-HU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B82571">
              <w:rPr>
                <w:sz w:val="18"/>
                <w:szCs w:val="18"/>
                <w:lang w:eastAsia="hu-HU"/>
              </w:rPr>
              <w:t xml:space="preserve"> </w:t>
            </w:r>
            <w:r w:rsidRPr="008F4753">
              <w:rPr>
                <w:sz w:val="18"/>
                <w:szCs w:val="18"/>
                <w:lang w:eastAsia="hu-HU"/>
              </w:rPr>
              <w:t>Meghatalmazott ajánlatkérő nélkül.</w:t>
            </w:r>
          </w:p>
          <w:p w:rsidR="006430AC" w:rsidRDefault="006430AC" w:rsidP="0042537D">
            <w:pPr>
              <w:spacing w:before="120" w:after="120"/>
              <w:ind w:left="380"/>
              <w:jc w:val="left"/>
              <w:rPr>
                <w:i/>
                <w:iCs/>
                <w:sz w:val="18"/>
                <w:szCs w:val="18"/>
                <w:lang w:eastAsia="hu-HU"/>
              </w:rPr>
            </w:pPr>
            <w:r>
              <w:rPr>
                <w:color w:val="0000CC"/>
                <w:lang w:eastAsia="hu-HU"/>
              </w:rPr>
              <w:t>X</w:t>
            </w:r>
            <w:r w:rsidRPr="00B82571">
              <w:rPr>
                <w:rFonts w:ascii="Wingdings" w:hAnsi="Wingdings" w:cs="Wingdings"/>
                <w:sz w:val="18"/>
                <w:szCs w:val="18"/>
                <w:lang w:eastAsia="hu-HU"/>
              </w:rPr>
              <w:t></w:t>
            </w:r>
            <w:r w:rsidRPr="00B8257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B82571">
              <w:rPr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B82571">
              <w:rPr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6430AC" w:rsidRDefault="006430AC" w:rsidP="008F4753">
            <w:pPr>
              <w:ind w:left="380"/>
              <w:jc w:val="left"/>
              <w:rPr>
                <w:color w:val="0000CC"/>
                <w:shd w:val="clear" w:color="auto" w:fill="FFFFFF"/>
              </w:rPr>
            </w:pPr>
            <w:r w:rsidRPr="008F4753">
              <w:rPr>
                <w:color w:val="0000CC"/>
                <w:shd w:val="clear" w:color="auto" w:fill="FFFFFF"/>
              </w:rPr>
              <w:t>Zirci Járás Önkormányzati Társulása</w:t>
            </w:r>
            <w:r>
              <w:rPr>
                <w:color w:val="0000CC"/>
                <w:shd w:val="clear" w:color="auto" w:fill="FFFFFF"/>
              </w:rPr>
              <w:t xml:space="preserve"> </w:t>
            </w:r>
          </w:p>
          <w:p w:rsidR="006430AC" w:rsidRDefault="006430AC" w:rsidP="008F4753">
            <w:pPr>
              <w:ind w:left="380"/>
              <w:jc w:val="left"/>
              <w:rPr>
                <w:color w:val="0000CC"/>
                <w:shd w:val="clear" w:color="auto" w:fill="FFFFFF"/>
              </w:rPr>
            </w:pPr>
            <w:r>
              <w:rPr>
                <w:color w:val="0000CC"/>
                <w:shd w:val="clear" w:color="auto" w:fill="FFFFFF"/>
              </w:rPr>
              <w:t xml:space="preserve">8420 Zirc, Radnóti tér 2/A. </w:t>
            </w:r>
          </w:p>
          <w:p w:rsidR="006430AC" w:rsidRPr="00A90506" w:rsidRDefault="006430AC" w:rsidP="008F4753">
            <w:pPr>
              <w:spacing w:after="120"/>
              <w:ind w:left="380"/>
              <w:jc w:val="left"/>
              <w:rPr>
                <w:color w:val="0000CC"/>
                <w:shd w:val="clear" w:color="auto" w:fill="FFFFFF"/>
              </w:rPr>
            </w:pPr>
            <w:r w:rsidRPr="00A90506">
              <w:rPr>
                <w:color w:val="0000CC"/>
                <w:shd w:val="clear" w:color="auto" w:fill="FFFFFF"/>
              </w:rPr>
              <w:t>szerződést nem kötő ajánlatkérőnek minősülő szervezet</w:t>
            </w:r>
          </w:p>
          <w:p w:rsidR="006430AC" w:rsidRPr="00B82571" w:rsidRDefault="006430AC" w:rsidP="0042537D">
            <w:pPr>
              <w:spacing w:before="120" w:after="120"/>
              <w:ind w:left="560" w:hanging="180"/>
              <w:jc w:val="left"/>
              <w:rPr>
                <w:lang w:eastAsia="hu-HU"/>
              </w:rPr>
            </w:pPr>
            <w:r w:rsidRPr="00B8257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B82571">
              <w:rPr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B82571">
              <w:rPr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6430AC" w:rsidRPr="00B8257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B82571">
              <w:rPr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B82571">
              <w:rPr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>I.3) Kommunikáció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</w:tblGrid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2B3FC8">
              <w:rPr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(URL)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B3FC8">
              <w:rPr>
                <w:color w:val="0000CC"/>
                <w:lang w:eastAsia="hu-HU"/>
              </w:rPr>
              <w:t>http://mail.veszprember.hu/feltoltes/kozbesz2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a fent említett cím</w:t>
            </w:r>
          </w:p>
          <w:p w:rsidR="006430AC" w:rsidRDefault="006430AC" w:rsidP="002B3FC8">
            <w:pPr>
              <w:rPr>
                <w:i/>
                <w:iCs/>
                <w:sz w:val="18"/>
                <w:szCs w:val="18"/>
                <w:lang w:eastAsia="hu-HU"/>
              </w:rPr>
            </w:pPr>
            <w:r>
              <w:rPr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másik cím: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(adjon meg másik címet)</w:t>
            </w:r>
            <w:r>
              <w:rPr>
                <w:i/>
                <w:iCs/>
                <w:sz w:val="18"/>
                <w:szCs w:val="18"/>
                <w:lang w:eastAsia="hu-HU"/>
              </w:rPr>
              <w:t xml:space="preserve"> 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Hivatalos név: VeszprémBer Zrt.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Postai cím: Radnóti tér 2/A.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Város: Veszprém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NUTS-kód: HU213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Postai irányítószám: 8200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Ország: HU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Kapcsolattartó személy: Wolf-Bachstedter Lívia közbeszerzési irodavezető-helyettes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Telefon: +36 88423888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 xml:space="preserve">E-mail: </w:t>
            </w:r>
            <w:hyperlink r:id="rId9" w:history="1">
              <w:r w:rsidRPr="002B3FC8">
                <w:rPr>
                  <w:rStyle w:val="Hyperlink"/>
                  <w:rFonts w:eastAsia="MyriadPro-Semibold"/>
                  <w:color w:val="0000CC"/>
                  <w:lang w:eastAsia="hu-HU"/>
                </w:rPr>
                <w:t>bachstedter.livia@veszprember.hu</w:t>
              </w:r>
            </w:hyperlink>
            <w:r w:rsidRPr="002B3FC8">
              <w:rPr>
                <w:rFonts w:eastAsia="MyriadPro-Semibold"/>
                <w:color w:val="0000CC"/>
                <w:lang w:eastAsia="hu-HU"/>
              </w:rPr>
              <w:t xml:space="preserve"> </w:t>
            </w:r>
          </w:p>
          <w:p w:rsidR="006430AC" w:rsidRPr="00F31610" w:rsidRDefault="006430AC" w:rsidP="002B3FC8">
            <w:pPr>
              <w:jc w:val="left"/>
              <w:rPr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Fax: +36 88424883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a fent említett címre</w:t>
            </w:r>
          </w:p>
          <w:p w:rsidR="006430AC" w:rsidRDefault="006430AC" w:rsidP="002B3FC8">
            <w:pPr>
              <w:jc w:val="left"/>
              <w:rPr>
                <w:i/>
                <w:iCs/>
                <w:sz w:val="18"/>
                <w:szCs w:val="18"/>
                <w:lang w:eastAsia="hu-HU"/>
              </w:rPr>
            </w:pPr>
            <w:r>
              <w:rPr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a következő címre: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Hivatalos név: VeszprémBer Zrt.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Postai cím: Radnóti tér 2/A., I. emeleti Titkárság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Város: Veszprém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NUTS-kód: HU213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Postai irányítószám: 8200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Ország: HU</w:t>
            </w:r>
          </w:p>
          <w:p w:rsidR="006430AC" w:rsidRPr="002B3FC8" w:rsidRDefault="006430AC" w:rsidP="002B3FC8">
            <w:pPr>
              <w:rPr>
                <w:rFonts w:eastAsia="MyriadPro-Semibold"/>
                <w:color w:val="0000CC"/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>Telefon: +36 88423888</w:t>
            </w:r>
          </w:p>
          <w:p w:rsidR="006430AC" w:rsidRPr="00F31610" w:rsidRDefault="006430AC" w:rsidP="002B3FC8">
            <w:pPr>
              <w:jc w:val="left"/>
              <w:rPr>
                <w:lang w:eastAsia="hu-HU"/>
              </w:rPr>
            </w:pPr>
            <w:r w:rsidRPr="002B3FC8">
              <w:rPr>
                <w:rFonts w:eastAsia="MyriadPro-Semibold"/>
                <w:color w:val="0000CC"/>
                <w:lang w:eastAsia="hu-HU"/>
              </w:rPr>
              <w:t xml:space="preserve">E-mail: </w:t>
            </w:r>
            <w:hyperlink r:id="rId10" w:history="1">
              <w:r w:rsidRPr="002B3FC8">
                <w:rPr>
                  <w:rStyle w:val="Hyperlink"/>
                  <w:rFonts w:eastAsia="MyriadPro-Semibold"/>
                  <w:color w:val="0000CC"/>
                  <w:lang w:eastAsia="hu-HU"/>
                </w:rPr>
                <w:t>titkarsag@veszprember.hu</w:t>
              </w:r>
            </w:hyperlink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>I.4) Az ajánlatkérő típusa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42"/>
        <w:gridCol w:w="4753"/>
      </w:tblGrid>
      <w:tr w:rsidR="006430AC" w:rsidRPr="00F31610">
        <w:tc>
          <w:tcPr>
            <w:tcW w:w="5042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Központi szintű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65030C">
              <w:rPr>
                <w:rFonts w:eastAsia="MyriadPro-Semibold"/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Regionális/helyi szintű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Közszolgáltató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 xml:space="preserve">I.5) Fő tevékenység </w:t>
      </w:r>
      <w:r w:rsidRPr="00F31610">
        <w:rPr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42"/>
        <w:gridCol w:w="4753"/>
      </w:tblGrid>
      <w:tr w:rsidR="006430AC" w:rsidRPr="00F31610">
        <w:tc>
          <w:tcPr>
            <w:tcW w:w="5042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Honvédelem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Közrend és biztonság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Környezetvédelem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Gazdasági és pénzügyek</w:t>
            </w:r>
          </w:p>
          <w:p w:rsidR="006430AC" w:rsidRPr="00F31610" w:rsidRDefault="006430AC" w:rsidP="0042537D">
            <w:pPr>
              <w:spacing w:before="120" w:after="120"/>
              <w:ind w:left="180" w:hanging="18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Szociális védelem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Oktatás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>
              <w:rPr>
                <w:rFonts w:eastAsia="MyriadPro-Semibold"/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Egyéb tevékenység: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4A29D8">
              <w:rPr>
                <w:rFonts w:eastAsia="MyriadPro-Semibold"/>
                <w:color w:val="0000CC"/>
                <w:lang w:eastAsia="hu-HU"/>
              </w:rPr>
              <w:t>Önkormányzati társulás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 xml:space="preserve">I.6) Fő tevékenység </w:t>
      </w:r>
      <w:r w:rsidRPr="00F31610">
        <w:rPr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42"/>
        <w:gridCol w:w="4753"/>
      </w:tblGrid>
      <w:tr w:rsidR="006430AC" w:rsidRPr="00F31610">
        <w:tc>
          <w:tcPr>
            <w:tcW w:w="5042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Villamos energia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Víz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753" w:type="dxa"/>
          </w:tcPr>
          <w:p w:rsidR="006430AC" w:rsidRPr="00F31610" w:rsidRDefault="006430AC" w:rsidP="0042537D">
            <w:pPr>
              <w:spacing w:before="120" w:after="120"/>
              <w:ind w:left="280" w:hanging="28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Vasúti szolgáltatások</w:t>
            </w:r>
          </w:p>
          <w:p w:rsidR="006430AC" w:rsidRPr="00F31610" w:rsidRDefault="006430AC" w:rsidP="0042537D">
            <w:pPr>
              <w:spacing w:before="120" w:after="120"/>
              <w:ind w:left="280" w:hanging="28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6430AC" w:rsidRPr="00F31610" w:rsidRDefault="006430AC" w:rsidP="0042537D">
            <w:pPr>
              <w:spacing w:before="120" w:after="120"/>
              <w:ind w:left="280" w:hanging="28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Kikötői tevékenységek</w:t>
            </w:r>
          </w:p>
          <w:p w:rsidR="006430AC" w:rsidRPr="00F31610" w:rsidRDefault="006430AC" w:rsidP="0042537D">
            <w:pPr>
              <w:spacing w:before="120" w:after="120"/>
              <w:ind w:left="280" w:hanging="28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6430AC" w:rsidRPr="00F31610" w:rsidRDefault="006430AC" w:rsidP="0042537D">
            <w:pPr>
              <w:spacing w:before="120" w:after="120"/>
              <w:ind w:left="280" w:hanging="28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sz w:val="28"/>
          <w:szCs w:val="28"/>
          <w:lang w:eastAsia="hu-HU"/>
        </w:rPr>
        <w:t>II. szakasz: Tárgy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>II.1) Meghatározás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14"/>
        <w:gridCol w:w="2681"/>
      </w:tblGrid>
      <w:tr w:rsidR="006430AC" w:rsidRPr="00F31610">
        <w:tc>
          <w:tcPr>
            <w:tcW w:w="7310" w:type="dxa"/>
          </w:tcPr>
          <w:p w:rsidR="006430AC" w:rsidRPr="00D57B8B" w:rsidRDefault="006430AC" w:rsidP="0051293D">
            <w:pPr>
              <w:spacing w:before="120" w:after="120"/>
              <w:jc w:val="left"/>
              <w:rPr>
                <w:lang w:eastAsia="hu-HU"/>
              </w:rPr>
            </w:pPr>
            <w:r w:rsidRPr="00D57B8B">
              <w:rPr>
                <w:b/>
                <w:bCs/>
                <w:sz w:val="18"/>
                <w:szCs w:val="18"/>
                <w:lang w:eastAsia="hu-HU"/>
              </w:rPr>
              <w:t xml:space="preserve">II.1.1) Elnevezés: </w:t>
            </w:r>
            <w:r w:rsidRPr="00D57B8B">
              <w:rPr>
                <w:rFonts w:eastAsia="MyriadPro-Semibold"/>
                <w:color w:val="0000CC"/>
                <w:lang w:eastAsia="hu-HU"/>
              </w:rPr>
              <w:t xml:space="preserve">Zirci Járás Önkormányzati Társulása területén központi háziorvosi ügyeleti feladatok ellátása a </w:t>
            </w:r>
            <w:r w:rsidRPr="0051293D">
              <w:rPr>
                <w:rFonts w:eastAsia="MyriadPro-Semibold"/>
                <w:color w:val="FF0000"/>
                <w:lang w:eastAsia="hu-HU"/>
              </w:rPr>
              <w:t>2017. március 1. és 2019. december</w:t>
            </w:r>
            <w:r>
              <w:rPr>
                <w:rFonts w:eastAsia="MyriadPro-Semibold"/>
                <w:color w:val="FF0000"/>
                <w:lang w:eastAsia="hu-HU"/>
              </w:rPr>
              <w:t xml:space="preserve"> </w:t>
            </w:r>
            <w:r w:rsidRPr="0051293D">
              <w:rPr>
                <w:rFonts w:eastAsia="MyriadPro-Semibold"/>
                <w:color w:val="FF0000"/>
                <w:lang w:eastAsia="hu-HU"/>
              </w:rPr>
              <w:t>31. közötti</w:t>
            </w:r>
            <w:r>
              <w:rPr>
                <w:rFonts w:eastAsia="MyriadPro-Semibold"/>
                <w:color w:val="0000CC"/>
                <w:lang w:eastAsia="hu-HU"/>
              </w:rPr>
              <w:t xml:space="preserve"> időszakban.</w:t>
            </w:r>
          </w:p>
        </w:tc>
        <w:tc>
          <w:tcPr>
            <w:tcW w:w="2485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D57B8B">
              <w:rPr>
                <w:sz w:val="18"/>
                <w:szCs w:val="18"/>
                <w:lang w:eastAsia="hu-HU"/>
              </w:rPr>
              <w:t xml:space="preserve">Hivatkozási szám: </w:t>
            </w:r>
            <w:r w:rsidRPr="00D57B8B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II.1.2) Fő CPV-kód: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4A29D8">
              <w:rPr>
                <w:rFonts w:eastAsia="MyriadPro-Semibold"/>
                <w:color w:val="0000CC"/>
                <w:lang w:eastAsia="hu-HU"/>
              </w:rPr>
              <w:t>85121100-4</w:t>
            </w:r>
            <w:r w:rsidRPr="00F31610">
              <w:rPr>
                <w:sz w:val="18"/>
                <w:szCs w:val="18"/>
                <w:lang w:eastAsia="hu-HU"/>
              </w:rPr>
              <w:t xml:space="preserve"> Kiegészítő CPV-kód: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II.1.3) A szerződés típusa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Árubeszerzés </w:t>
            </w:r>
            <w:r>
              <w:rPr>
                <w:rFonts w:eastAsia="MyriadPro-Semibold"/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Szolgáltatás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sz w:val="18"/>
                <w:szCs w:val="18"/>
                <w:lang w:eastAsia="hu-HU"/>
              </w:rPr>
              <w:t>megrendelés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FA5B00">
            <w:pPr>
              <w:spacing w:before="120" w:after="120"/>
              <w:rPr>
                <w:lang w:eastAsia="hu-HU"/>
              </w:rPr>
            </w:pPr>
            <w:r w:rsidRPr="00D57B8B">
              <w:rPr>
                <w:b/>
                <w:bCs/>
                <w:sz w:val="18"/>
                <w:szCs w:val="18"/>
                <w:lang w:eastAsia="hu-HU"/>
              </w:rPr>
              <w:t>II.1.4) A közbeszerzés rövid ismertetése:</w:t>
            </w:r>
            <w:r w:rsidRPr="00D57B8B">
              <w:rPr>
                <w:rFonts w:eastAsia="MyriadPro-Semibold"/>
                <w:color w:val="0000CC"/>
                <w:lang w:eastAsia="hu-HU"/>
              </w:rPr>
              <w:t xml:space="preserve"> Megbízási szerződés Zirci Járás Önkormányzati Társulása területén központi háziorvosi ügyeleti feladatok ellátására a </w:t>
            </w:r>
            <w:r w:rsidRPr="00A05A3C">
              <w:rPr>
                <w:rFonts w:eastAsia="MyriadPro-Semibold"/>
                <w:color w:val="FF0000"/>
                <w:lang w:eastAsia="hu-HU"/>
              </w:rPr>
              <w:t>2017. március 1. és 2019. december 31. közötti</w:t>
            </w:r>
            <w:r w:rsidRPr="00D57B8B">
              <w:rPr>
                <w:rFonts w:eastAsia="MyriadPro-Semibold"/>
                <w:color w:val="0000CC"/>
                <w:lang w:eastAsia="hu-HU"/>
              </w:rPr>
              <w:t xml:space="preserve"> időszakban.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 xml:space="preserve">II.1.5) </w:t>
            </w:r>
            <w:r w:rsidRPr="00003055">
              <w:rPr>
                <w:b/>
                <w:bCs/>
                <w:sz w:val="18"/>
                <w:szCs w:val="18"/>
                <w:lang w:eastAsia="hu-HU"/>
              </w:rPr>
              <w:t>Becsült érték:</w:t>
            </w:r>
            <w:r w:rsidRPr="00003055">
              <w:rPr>
                <w:sz w:val="18"/>
                <w:szCs w:val="18"/>
                <w:lang w:eastAsia="hu-HU"/>
              </w:rPr>
              <w:t xml:space="preserve"> </w:t>
            </w:r>
            <w:r w:rsidRPr="00003055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003055">
              <w:rPr>
                <w:sz w:val="18"/>
                <w:szCs w:val="18"/>
                <w:lang w:eastAsia="hu-HU"/>
              </w:rPr>
              <w:t> </w:t>
            </w:r>
            <w:r w:rsidRPr="00003055">
              <w:rPr>
                <w:rFonts w:eastAsia="MyriadPro-Semibold"/>
                <w:color w:val="0000CC"/>
                <w:lang w:eastAsia="hu-HU"/>
              </w:rPr>
              <w:t>………………..</w:t>
            </w:r>
            <w:r w:rsidRPr="00003055">
              <w:rPr>
                <w:sz w:val="18"/>
                <w:szCs w:val="18"/>
                <w:lang w:eastAsia="hu-HU"/>
              </w:rPr>
              <w:t xml:space="preserve"> Pénznem: </w:t>
            </w:r>
            <w:r w:rsidRPr="00003055">
              <w:rPr>
                <w:rFonts w:eastAsia="MyriadPro-Semibold"/>
                <w:color w:val="0000CC"/>
                <w:lang w:eastAsia="hu-HU"/>
              </w:rPr>
              <w:t>………………..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i/>
                <w:iCs/>
                <w:sz w:val="18"/>
                <w:szCs w:val="18"/>
                <w:lang w:eastAsia="hu-HU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B8257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6430AC" w:rsidRPr="00B8257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B82571">
              <w:rPr>
                <w:sz w:val="18"/>
                <w:szCs w:val="18"/>
                <w:lang w:eastAsia="hu-HU"/>
              </w:rPr>
              <w:t xml:space="preserve"> Részajánlat tételére lehetőség van.</w:t>
            </w:r>
          </w:p>
          <w:p w:rsidR="006430AC" w:rsidRPr="00B8257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sz w:val="18"/>
                <w:szCs w:val="18"/>
                <w:lang w:eastAsia="hu-HU"/>
              </w:rPr>
              <w:t xml:space="preserve">Ajánlatok benyújthatók </w:t>
            </w:r>
            <w:r w:rsidRPr="00B82571">
              <w:rPr>
                <w:sz w:val="18"/>
                <w:szCs w:val="18"/>
                <w:vertAlign w:val="superscript"/>
                <w:lang w:eastAsia="hu-HU"/>
              </w:rPr>
              <w:t xml:space="preserve">12 </w:t>
            </w:r>
            <w:r w:rsidRPr="00B8257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B82571">
              <w:rPr>
                <w:sz w:val="18"/>
                <w:szCs w:val="18"/>
                <w:lang w:eastAsia="hu-HU"/>
              </w:rPr>
              <w:t xml:space="preserve"> valamennyi részre </w:t>
            </w:r>
            <w:r w:rsidRPr="00B8257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B82571">
              <w:rPr>
                <w:sz w:val="18"/>
                <w:szCs w:val="18"/>
                <w:lang w:eastAsia="hu-HU"/>
              </w:rPr>
              <w:t xml:space="preserve"> legfeljebb a következő számú részre: [ ] </w:t>
            </w:r>
            <w:r w:rsidRPr="00B8257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B82571">
              <w:rPr>
                <w:sz w:val="18"/>
                <w:szCs w:val="18"/>
                <w:lang w:eastAsia="hu-HU"/>
              </w:rPr>
              <w:t xml:space="preserve"> csak egy részre</w:t>
            </w:r>
          </w:p>
          <w:p w:rsidR="006430AC" w:rsidRPr="00B8257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B82571">
              <w:rPr>
                <w:sz w:val="18"/>
                <w:szCs w:val="18"/>
                <w:lang w:eastAsia="hu-HU"/>
              </w:rPr>
              <w:t xml:space="preserve"> Az egy ajánlattevőnek odaítélhető részek maximális száma: [ ]</w:t>
            </w:r>
          </w:p>
          <w:p w:rsidR="006430AC" w:rsidRPr="00B8257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B82571">
              <w:rPr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 </w:t>
            </w:r>
          </w:p>
          <w:p w:rsidR="006430AC" w:rsidRPr="00B8257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B82571">
              <w:rPr>
                <w:rFonts w:eastAsia="MyriadPro-Semibold"/>
                <w:color w:val="0000CC"/>
                <w:lang w:eastAsia="hu-HU"/>
              </w:rPr>
              <w:t>X</w:t>
            </w:r>
            <w:r w:rsidRPr="00B82571">
              <w:rPr>
                <w:sz w:val="18"/>
                <w:szCs w:val="18"/>
                <w:lang w:eastAsia="hu-HU"/>
              </w:rPr>
              <w:t xml:space="preserve"> Részajánlat tételének lehetősége nem biztosított.</w:t>
            </w:r>
          </w:p>
          <w:p w:rsidR="006430AC" w:rsidRPr="00F31610" w:rsidRDefault="006430AC" w:rsidP="00B82571">
            <w:pPr>
              <w:spacing w:before="120" w:after="120"/>
              <w:rPr>
                <w:lang w:eastAsia="hu-HU"/>
              </w:rPr>
            </w:pPr>
            <w:r w:rsidRPr="00B82571">
              <w:rPr>
                <w:sz w:val="18"/>
                <w:szCs w:val="18"/>
                <w:lang w:eastAsia="hu-HU"/>
              </w:rPr>
              <w:t xml:space="preserve">A részajánlat tételének kizárásának indoka(i): </w:t>
            </w:r>
            <w:r w:rsidRPr="00B82571">
              <w:rPr>
                <w:rFonts w:eastAsia="MyriadPro-Semibold"/>
                <w:color w:val="0000CC"/>
                <w:lang w:eastAsia="hu-HU"/>
              </w:rPr>
              <w:t>A Kbt. 61.§ (4) bekezdés indoklás: Ajánlatkérő nem biztosítja a részekre történő ajánlattételt tekintettel arra, hogy az a szerződés teljesítésének gazdasági ésszerűségével ellentétes lenne. Ajánlatkérő a hatékony, felelős gazdálkodás elve alapján jár el.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 xml:space="preserve">II.2) A közbeszerzés ismertetése </w:t>
      </w:r>
      <w:r w:rsidRPr="00F31610">
        <w:rPr>
          <w:sz w:val="18"/>
          <w:szCs w:val="18"/>
          <w:vertAlign w:val="superscript"/>
          <w:lang w:eastAsia="hu-HU"/>
        </w:rPr>
        <w:t>1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03"/>
        <w:gridCol w:w="2492"/>
      </w:tblGrid>
      <w:tr w:rsidR="006430AC" w:rsidRPr="00D57B8B">
        <w:tc>
          <w:tcPr>
            <w:tcW w:w="7310" w:type="dxa"/>
          </w:tcPr>
          <w:p w:rsidR="006430AC" w:rsidRPr="00D57B8B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D57B8B">
              <w:rPr>
                <w:b/>
                <w:bCs/>
                <w:sz w:val="18"/>
                <w:szCs w:val="18"/>
                <w:lang w:eastAsia="hu-HU"/>
              </w:rPr>
              <w:t xml:space="preserve">II.2.1) Elnevezés: </w:t>
            </w:r>
            <w:r w:rsidRPr="00D57B8B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D57B8B">
              <w:rPr>
                <w:rFonts w:eastAsia="MyriadPro-Semibold"/>
                <w:color w:val="0000CC"/>
                <w:lang w:eastAsia="hu-HU"/>
              </w:rPr>
              <w:t xml:space="preserve"> Zirci Járás Önkormányzati Társulása területén központi háziorvosi ügyeleti feladatok ellátása a </w:t>
            </w:r>
            <w:r w:rsidRPr="00A05A3C">
              <w:rPr>
                <w:rFonts w:eastAsia="MyriadPro-Semibold"/>
                <w:color w:val="FF0000"/>
                <w:lang w:eastAsia="hu-HU"/>
              </w:rPr>
              <w:t>2017. március 1. és 2019. december</w:t>
            </w:r>
            <w:r>
              <w:rPr>
                <w:rFonts w:eastAsia="MyriadPro-Semibold"/>
                <w:color w:val="FF0000"/>
                <w:lang w:eastAsia="hu-HU"/>
              </w:rPr>
              <w:t xml:space="preserve"> </w:t>
            </w:r>
            <w:r w:rsidRPr="00A05A3C">
              <w:rPr>
                <w:rFonts w:eastAsia="MyriadPro-Semibold"/>
                <w:color w:val="FF0000"/>
                <w:lang w:eastAsia="hu-HU"/>
              </w:rPr>
              <w:t>31. közötti</w:t>
            </w:r>
            <w:r w:rsidRPr="00D57B8B">
              <w:rPr>
                <w:rFonts w:eastAsia="MyriadPro-Semibold"/>
                <w:color w:val="0000CC"/>
                <w:lang w:eastAsia="hu-HU"/>
              </w:rPr>
              <w:t xml:space="preserve"> időszakban</w:t>
            </w:r>
          </w:p>
        </w:tc>
        <w:tc>
          <w:tcPr>
            <w:tcW w:w="2485" w:type="dxa"/>
          </w:tcPr>
          <w:p w:rsidR="006430AC" w:rsidRPr="00D57B8B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D57B8B">
              <w:rPr>
                <w:sz w:val="18"/>
                <w:szCs w:val="18"/>
                <w:lang w:eastAsia="hu-HU"/>
              </w:rPr>
              <w:t xml:space="preserve">Rész száma: </w:t>
            </w:r>
            <w:r w:rsidRPr="00D57B8B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RPr="00D57B8B">
        <w:tc>
          <w:tcPr>
            <w:tcW w:w="0" w:type="auto"/>
            <w:gridSpan w:val="2"/>
          </w:tcPr>
          <w:p w:rsidR="006430AC" w:rsidRPr="00D57B8B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D57B8B">
              <w:rPr>
                <w:b/>
                <w:bCs/>
                <w:sz w:val="18"/>
                <w:szCs w:val="18"/>
                <w:lang w:eastAsia="hu-HU"/>
              </w:rPr>
              <w:t>II.2.2) További CPV-kód(ok):</w:t>
            </w:r>
            <w:r w:rsidRPr="00D57B8B">
              <w:rPr>
                <w:sz w:val="18"/>
                <w:szCs w:val="18"/>
                <w:lang w:eastAsia="hu-HU"/>
              </w:rPr>
              <w:t xml:space="preserve"> </w:t>
            </w:r>
            <w:r w:rsidRPr="00D57B8B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D57B8B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D57B8B">
              <w:rPr>
                <w:sz w:val="18"/>
                <w:szCs w:val="18"/>
                <w:lang w:eastAsia="hu-HU"/>
              </w:rPr>
              <w:t xml:space="preserve">Fő CPV-kód: </w:t>
            </w:r>
            <w:r w:rsidRPr="00D57B8B">
              <w:rPr>
                <w:sz w:val="18"/>
                <w:szCs w:val="18"/>
                <w:vertAlign w:val="superscript"/>
                <w:lang w:eastAsia="hu-HU"/>
              </w:rPr>
              <w:t>1</w:t>
            </w:r>
            <w:r w:rsidRPr="00D57B8B">
              <w:rPr>
                <w:sz w:val="18"/>
                <w:szCs w:val="18"/>
                <w:lang w:eastAsia="hu-HU"/>
              </w:rPr>
              <w:t xml:space="preserve"> [ ][ ] . [ ][ ] . [ ][ ] . [ ][ ] - [ ] Kiegészítő CPV-kód: </w:t>
            </w:r>
            <w:r w:rsidRPr="00D57B8B">
              <w:rPr>
                <w:sz w:val="18"/>
                <w:szCs w:val="18"/>
                <w:vertAlign w:val="superscript"/>
                <w:lang w:eastAsia="hu-HU"/>
              </w:rPr>
              <w:t>1 2</w:t>
            </w:r>
            <w:r w:rsidRPr="00D57B8B">
              <w:rPr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6430AC" w:rsidRPr="00D57B8B">
        <w:tc>
          <w:tcPr>
            <w:tcW w:w="0" w:type="auto"/>
            <w:gridSpan w:val="2"/>
          </w:tcPr>
          <w:p w:rsidR="006430AC" w:rsidRPr="00D57B8B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D57B8B">
              <w:rPr>
                <w:b/>
                <w:bCs/>
                <w:sz w:val="18"/>
                <w:szCs w:val="18"/>
                <w:lang w:eastAsia="hu-HU"/>
              </w:rPr>
              <w:t>II.2.3) A teljesítés helye:</w:t>
            </w:r>
          </w:p>
          <w:p w:rsidR="006430AC" w:rsidRPr="00D57B8B" w:rsidRDefault="006430AC" w:rsidP="00C55010">
            <w:pPr>
              <w:spacing w:before="120" w:after="120"/>
              <w:rPr>
                <w:lang w:eastAsia="hu-HU"/>
              </w:rPr>
            </w:pPr>
            <w:r w:rsidRPr="00D57B8B">
              <w:rPr>
                <w:sz w:val="18"/>
                <w:szCs w:val="18"/>
                <w:lang w:eastAsia="hu-HU"/>
              </w:rPr>
              <w:t xml:space="preserve">NUTS-kód: </w:t>
            </w:r>
            <w:r w:rsidRPr="00D57B8B">
              <w:rPr>
                <w:sz w:val="18"/>
                <w:szCs w:val="18"/>
                <w:vertAlign w:val="superscript"/>
                <w:lang w:eastAsia="hu-HU"/>
              </w:rPr>
              <w:t>1</w:t>
            </w:r>
            <w:r w:rsidRPr="00D57B8B">
              <w:rPr>
                <w:sz w:val="18"/>
                <w:szCs w:val="18"/>
                <w:lang w:eastAsia="hu-HU"/>
              </w:rPr>
              <w:t xml:space="preserve"> </w:t>
            </w:r>
            <w:r w:rsidRPr="00D57B8B">
              <w:rPr>
                <w:rFonts w:eastAsia="MyriadPro-Semibold"/>
                <w:color w:val="0000CC"/>
                <w:lang w:eastAsia="hu-HU"/>
              </w:rPr>
              <w:t>HU213</w:t>
            </w:r>
            <w:r w:rsidRPr="00D57B8B">
              <w:rPr>
                <w:sz w:val="18"/>
                <w:szCs w:val="18"/>
                <w:lang w:eastAsia="hu-HU"/>
              </w:rPr>
              <w:t xml:space="preserve"> A teljesítés helye:</w:t>
            </w:r>
            <w:r w:rsidRPr="00D57B8B">
              <w:t xml:space="preserve"> </w:t>
            </w:r>
            <w:r w:rsidRPr="00D57B8B">
              <w:rPr>
                <w:rFonts w:eastAsia="MyriadPro-Semibold"/>
                <w:color w:val="0000CC"/>
                <w:lang w:eastAsia="hu-HU"/>
              </w:rPr>
              <w:t xml:space="preserve">Zirc központtal (8420 Zirc, József A. u. 17-19.), tizenöt önkormányzat illetékességi területét érintve (Bakonybél, Bakonynána, Bakonyoszlop, Bakonyszentkirály, Borzavár, Csesznek, Csetény, Dudar, Lókút, Nagyesztergár, Olaszfalu, Pénzesgyőr, Porva, Szápár, Zirc települések) 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D57B8B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D57B8B">
              <w:rPr>
                <w:b/>
                <w:bCs/>
                <w:sz w:val="18"/>
                <w:szCs w:val="18"/>
                <w:lang w:eastAsia="hu-HU"/>
              </w:rPr>
              <w:t>II.2.4) A közbeszerzés mennyisége:</w:t>
            </w:r>
            <w:r w:rsidRPr="00D57B8B">
              <w:rPr>
                <w:sz w:val="18"/>
                <w:szCs w:val="18"/>
                <w:lang w:eastAsia="hu-HU"/>
              </w:rPr>
              <w:t xml:space="preserve"> </w:t>
            </w:r>
          </w:p>
          <w:p w:rsidR="006430AC" w:rsidRPr="00D57B8B" w:rsidRDefault="006430AC" w:rsidP="0042537D">
            <w:pPr>
              <w:spacing w:before="120" w:after="120"/>
              <w:jc w:val="left"/>
              <w:rPr>
                <w:i/>
                <w:iCs/>
                <w:sz w:val="18"/>
                <w:szCs w:val="18"/>
                <w:lang w:eastAsia="hu-HU"/>
              </w:rPr>
            </w:pPr>
            <w:r w:rsidRPr="00D57B8B">
              <w:rPr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430AC" w:rsidRPr="00D57B8B" w:rsidRDefault="006430AC" w:rsidP="00287730">
            <w:pPr>
              <w:rPr>
                <w:rFonts w:eastAsia="MyriadPro-Semibold"/>
                <w:color w:val="0000CC"/>
                <w:lang w:eastAsia="hu-HU"/>
              </w:rPr>
            </w:pPr>
            <w:r w:rsidRPr="00D57B8B">
              <w:rPr>
                <w:rFonts w:eastAsia="MyriadPro-Semibold"/>
                <w:color w:val="0000CC"/>
                <w:lang w:eastAsia="hu-HU"/>
              </w:rPr>
              <w:t>Zirc központtal működő, tizenöt önkormányzat illetékességi területére kiterjedő központi háziorvosi ügyelet ellátása:</w:t>
            </w:r>
          </w:p>
          <w:p w:rsidR="006430AC" w:rsidRPr="00D57B8B" w:rsidRDefault="006430AC" w:rsidP="00287730">
            <w:pPr>
              <w:rPr>
                <w:rFonts w:eastAsia="MyriadPro-Semibold"/>
                <w:color w:val="0000CC"/>
                <w:lang w:eastAsia="hu-HU"/>
              </w:rPr>
            </w:pPr>
            <w:r w:rsidRPr="00D57B8B">
              <w:rPr>
                <w:rFonts w:eastAsia="MyriadPro-Semibold"/>
                <w:color w:val="0000CC"/>
                <w:lang w:eastAsia="hu-HU"/>
              </w:rPr>
              <w:t xml:space="preserve">- munkanapokon: a napi rendelések befejezése után 16:00 órától másnap reggel 8:00 óráig </w:t>
            </w:r>
          </w:p>
          <w:p w:rsidR="006430AC" w:rsidRPr="00D57B8B" w:rsidRDefault="006430AC" w:rsidP="00287730">
            <w:pPr>
              <w:rPr>
                <w:rFonts w:eastAsia="MyriadPro-Semibold"/>
                <w:color w:val="0000CC"/>
                <w:lang w:eastAsia="hu-HU"/>
              </w:rPr>
            </w:pPr>
            <w:r w:rsidRPr="00D57B8B">
              <w:rPr>
                <w:rFonts w:eastAsia="MyriadPro-Semibold"/>
                <w:color w:val="0000CC"/>
                <w:lang w:eastAsia="hu-HU"/>
              </w:rPr>
              <w:t xml:space="preserve">- munkaszüneti, szabad- és ünnepnapokon: reggel 8:00 órától másnap reggel 8:00 óráig, </w:t>
            </w:r>
          </w:p>
          <w:p w:rsidR="006430AC" w:rsidRPr="00D57B8B" w:rsidRDefault="006430AC" w:rsidP="00287730">
            <w:pPr>
              <w:rPr>
                <w:rFonts w:eastAsia="MyriadPro-Semibold"/>
                <w:color w:val="0000CC"/>
                <w:lang w:eastAsia="hu-HU"/>
              </w:rPr>
            </w:pPr>
            <w:r w:rsidRPr="00D57B8B">
              <w:rPr>
                <w:rFonts w:eastAsia="MyriadPro-Semibold"/>
                <w:color w:val="0000CC"/>
                <w:lang w:eastAsia="hu-HU"/>
              </w:rPr>
              <w:t>Az érintett lakossági létszám (teljes körű: gyermek és felnőtt a 2015. évi települési létszám adatok alapján) mindösszesen: 19.410 fő</w:t>
            </w:r>
          </w:p>
          <w:p w:rsidR="006430AC" w:rsidRPr="00D57B8B" w:rsidRDefault="006430AC" w:rsidP="00FF0F37">
            <w:pPr>
              <w:rPr>
                <w:rFonts w:eastAsia="MyriadPro-Semibold"/>
                <w:color w:val="0000CC"/>
                <w:lang w:eastAsia="hu-HU"/>
              </w:rPr>
            </w:pPr>
            <w:r w:rsidRPr="00D57B8B">
              <w:rPr>
                <w:rFonts w:eastAsia="MyriadPro-Semibold"/>
                <w:color w:val="0000CC"/>
                <w:lang w:eastAsia="hu-HU"/>
              </w:rPr>
              <w:t>Bakonybél – 1.185 fő, Bakonynána – 1.022 fő, Bakonyoszlop – 458 fő, Bakonyszentkirály – 853 fő, Borzavár – 751 fő, Csesznek – 541 fő, Csetény – 1.851 fő, Dudar – 1.775 fő, Lókút – 452 fő, Nagyesztergár – 1.207 fő, Olaszfalu – 1.061 fő, Pénzesgyőr – 344 fő, Porva – 477 fő, Szápár – 498 fő, Zirc – 6.935 fő.</w:t>
            </w:r>
          </w:p>
          <w:p w:rsidR="006430AC" w:rsidRPr="00FF0F37" w:rsidRDefault="006430AC" w:rsidP="00052C49">
            <w:pPr>
              <w:rPr>
                <w:rFonts w:eastAsia="MyriadPro-Semibold"/>
                <w:color w:val="0000CC"/>
                <w:lang w:eastAsia="hu-HU"/>
              </w:rPr>
            </w:pPr>
            <w:r w:rsidRPr="00D57B8B">
              <w:rPr>
                <w:rFonts w:eastAsia="MyriadPro-Semibold"/>
                <w:color w:val="0000CC"/>
                <w:lang w:eastAsia="hu-HU"/>
              </w:rPr>
              <w:t>A finanszírozás alapjául szolgáló lakossági létszámadatok évről évre változnak.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D37782" w:rsidRDefault="006430AC" w:rsidP="0042537D">
            <w:pPr>
              <w:spacing w:before="120" w:after="120"/>
              <w:jc w:val="left"/>
              <w:rPr>
                <w:color w:val="FF0000"/>
                <w:lang w:eastAsia="hu-HU"/>
              </w:rPr>
            </w:pPr>
            <w:r w:rsidRPr="00D37782">
              <w:rPr>
                <w:b/>
                <w:bCs/>
                <w:color w:val="FF0000"/>
                <w:sz w:val="18"/>
                <w:szCs w:val="18"/>
                <w:lang w:eastAsia="hu-HU"/>
              </w:rPr>
              <w:t>II.2.5) Értékelési szempontok</w:t>
            </w:r>
          </w:p>
          <w:p w:rsidR="006430AC" w:rsidRPr="00D37782" w:rsidRDefault="006430AC" w:rsidP="0042537D">
            <w:pPr>
              <w:spacing w:before="120" w:after="120"/>
              <w:jc w:val="left"/>
              <w:rPr>
                <w:color w:val="FF0000"/>
                <w:lang w:eastAsia="hu-HU"/>
              </w:rPr>
            </w:pPr>
            <w:r w:rsidRPr="00D37782">
              <w:rPr>
                <w:rFonts w:eastAsia="MyriadPro-Semibold"/>
                <w:color w:val="FF0000"/>
                <w:lang w:eastAsia="hu-HU"/>
              </w:rPr>
              <w:t>X</w:t>
            </w:r>
            <w:r w:rsidRPr="00D37782">
              <w:rPr>
                <w:color w:val="FF0000"/>
                <w:sz w:val="18"/>
                <w:szCs w:val="18"/>
                <w:lang w:eastAsia="hu-HU"/>
              </w:rPr>
              <w:t xml:space="preserve"> Az alábbi értékelési szempontok</w:t>
            </w:r>
          </w:p>
          <w:p w:rsidR="006430AC" w:rsidRPr="00D37782" w:rsidRDefault="006430AC" w:rsidP="0042537D">
            <w:pPr>
              <w:spacing w:before="120" w:after="120"/>
              <w:ind w:left="180"/>
              <w:jc w:val="left"/>
              <w:rPr>
                <w:color w:val="FF0000"/>
                <w:sz w:val="18"/>
                <w:szCs w:val="18"/>
                <w:lang w:eastAsia="hu-HU"/>
              </w:rPr>
            </w:pPr>
            <w:r w:rsidRPr="00D37782">
              <w:rPr>
                <w:rFonts w:ascii="Wingdings" w:hAnsi="Wingdings" w:cs="Wingdings"/>
                <w:color w:val="FF0000"/>
                <w:sz w:val="18"/>
                <w:szCs w:val="18"/>
                <w:lang w:eastAsia="hu-HU"/>
              </w:rPr>
              <w:t></w:t>
            </w:r>
            <w:r w:rsidRPr="00D37782">
              <w:rPr>
                <w:color w:val="FF0000"/>
                <w:sz w:val="18"/>
                <w:szCs w:val="18"/>
                <w:lang w:eastAsia="hu-HU"/>
              </w:rPr>
              <w:t xml:space="preserve"> Minőségi szempont </w:t>
            </w:r>
          </w:p>
          <w:p w:rsidR="006430AC" w:rsidRPr="00D37782" w:rsidRDefault="006430AC" w:rsidP="001E273D">
            <w:pPr>
              <w:tabs>
                <w:tab w:val="left" w:pos="632"/>
              </w:tabs>
              <w:ind w:left="636" w:right="771" w:hanging="284"/>
              <w:jc w:val="left"/>
              <w:rPr>
                <w:color w:val="FF0000"/>
                <w:sz w:val="18"/>
                <w:szCs w:val="18"/>
                <w:vertAlign w:val="superscript"/>
                <w:lang w:eastAsia="hu-HU"/>
              </w:rPr>
            </w:pPr>
            <w:r w:rsidRPr="00D37782">
              <w:rPr>
                <w:color w:val="FF0000"/>
                <w:sz w:val="18"/>
                <w:szCs w:val="18"/>
                <w:lang w:eastAsia="hu-HU"/>
              </w:rPr>
              <w:t xml:space="preserve">Megnevezés: ………. Súlyszám: …. </w:t>
            </w:r>
          </w:p>
          <w:p w:rsidR="006430AC" w:rsidRPr="00D37782" w:rsidRDefault="006430AC" w:rsidP="001E273D">
            <w:pPr>
              <w:tabs>
                <w:tab w:val="left" w:pos="632"/>
              </w:tabs>
              <w:ind w:left="636" w:right="771" w:hanging="284"/>
              <w:jc w:val="left"/>
              <w:rPr>
                <w:color w:val="FF0000"/>
                <w:sz w:val="18"/>
                <w:szCs w:val="18"/>
                <w:vertAlign w:val="superscript"/>
                <w:lang w:eastAsia="hu-HU"/>
              </w:rPr>
            </w:pPr>
            <w:r w:rsidRPr="00D37782">
              <w:rPr>
                <w:color w:val="FF0000"/>
                <w:sz w:val="18"/>
                <w:szCs w:val="18"/>
                <w:lang w:eastAsia="hu-HU"/>
              </w:rPr>
              <w:t xml:space="preserve">Megnevezés: ………. Súlyszám: …. </w:t>
            </w:r>
          </w:p>
          <w:p w:rsidR="006430AC" w:rsidRPr="00D37782" w:rsidRDefault="006430AC" w:rsidP="001E273D">
            <w:pPr>
              <w:tabs>
                <w:tab w:val="left" w:pos="632"/>
              </w:tabs>
              <w:ind w:left="636" w:right="771" w:hanging="284"/>
              <w:jc w:val="left"/>
              <w:rPr>
                <w:color w:val="FF0000"/>
                <w:sz w:val="18"/>
                <w:szCs w:val="18"/>
                <w:vertAlign w:val="superscript"/>
                <w:lang w:eastAsia="hu-HU"/>
              </w:rPr>
            </w:pPr>
            <w:r w:rsidRPr="00D37782">
              <w:rPr>
                <w:color w:val="FF0000"/>
                <w:sz w:val="18"/>
                <w:szCs w:val="18"/>
                <w:lang w:eastAsia="hu-HU"/>
              </w:rPr>
              <w:t xml:space="preserve">Megnevezés: ………. Súlyszám: …. </w:t>
            </w:r>
          </w:p>
          <w:p w:rsidR="006430AC" w:rsidRPr="00D37782" w:rsidRDefault="006430AC" w:rsidP="0042537D">
            <w:pPr>
              <w:spacing w:before="120" w:after="120"/>
              <w:ind w:left="180"/>
              <w:jc w:val="left"/>
              <w:rPr>
                <w:color w:val="FF0000"/>
                <w:lang w:eastAsia="hu-HU"/>
              </w:rPr>
            </w:pPr>
            <w:r w:rsidRPr="00D37782">
              <w:rPr>
                <w:rFonts w:ascii="Wingdings" w:hAnsi="Wingdings" w:cs="Wingdings"/>
                <w:color w:val="FF0000"/>
                <w:sz w:val="18"/>
                <w:szCs w:val="18"/>
                <w:lang w:eastAsia="hu-HU"/>
              </w:rPr>
              <w:t></w:t>
            </w:r>
            <w:r w:rsidRPr="00D37782">
              <w:rPr>
                <w:color w:val="FF0000"/>
                <w:sz w:val="18"/>
                <w:szCs w:val="18"/>
                <w:lang w:eastAsia="hu-HU"/>
              </w:rPr>
              <w:t xml:space="preserve"> Költség szempont – Megnevezés: / Súlyszám: </w:t>
            </w:r>
            <w:r w:rsidRPr="00D37782">
              <w:rPr>
                <w:color w:val="FF0000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6430AC" w:rsidRPr="00F31610" w:rsidRDefault="006430AC" w:rsidP="009513C3">
            <w:pPr>
              <w:spacing w:before="120" w:after="120"/>
              <w:ind w:left="180"/>
              <w:jc w:val="left"/>
              <w:rPr>
                <w:lang w:eastAsia="hu-HU"/>
              </w:rPr>
            </w:pPr>
            <w:r w:rsidRPr="00D37782">
              <w:rPr>
                <w:rFonts w:eastAsia="MyriadPro-Semibold"/>
                <w:color w:val="FF0000"/>
                <w:lang w:eastAsia="hu-HU"/>
              </w:rPr>
              <w:t>X</w:t>
            </w:r>
            <w:r w:rsidRPr="00D37782">
              <w:rPr>
                <w:color w:val="FF0000"/>
                <w:sz w:val="18"/>
                <w:szCs w:val="18"/>
                <w:lang w:eastAsia="hu-HU"/>
              </w:rPr>
              <w:t xml:space="preserve"> Ár szempont – Megnevezés: / Súlyszám:  </w:t>
            </w:r>
            <w:r w:rsidRPr="00D37782">
              <w:rPr>
                <w:color w:val="FF0000"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003055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003055">
              <w:rPr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003055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003055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003055">
              <w:rPr>
                <w:sz w:val="18"/>
                <w:szCs w:val="18"/>
                <w:lang w:eastAsia="hu-HU"/>
              </w:rPr>
              <w:t xml:space="preserve">Érték ÁFA nélkül: </w:t>
            </w:r>
            <w:r w:rsidRPr="00003055">
              <w:rPr>
                <w:rFonts w:eastAsia="MyriadPro-Semibold"/>
                <w:color w:val="0000CC"/>
                <w:lang w:eastAsia="hu-HU"/>
              </w:rPr>
              <w:t>…………….</w:t>
            </w:r>
            <w:r w:rsidRPr="00003055">
              <w:rPr>
                <w:sz w:val="18"/>
                <w:szCs w:val="18"/>
                <w:lang w:eastAsia="hu-HU"/>
              </w:rPr>
              <w:t xml:space="preserve">  Pénznem: </w:t>
            </w:r>
            <w:r w:rsidRPr="00003055">
              <w:rPr>
                <w:rFonts w:eastAsia="MyriadPro-Semibold"/>
                <w:color w:val="0000CC"/>
                <w:lang w:eastAsia="hu-HU"/>
              </w:rPr>
              <w:t>……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003055">
              <w:rPr>
                <w:i/>
                <w:iCs/>
                <w:sz w:val="18"/>
                <w:szCs w:val="18"/>
                <w:lang w:eastAsia="hu-HU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 xml:space="preserve">II.2.7) A szerződés, keretmegállapodás vagy dinamikus beszerzési rendszer időtartama 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Időtartam hónapban: [ ] vagy napban: [ ]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vagy Kezdés</w:t>
            </w:r>
            <w:r w:rsidRPr="00183F85">
              <w:rPr>
                <w:color w:val="FF0000"/>
                <w:sz w:val="18"/>
                <w:szCs w:val="18"/>
                <w:lang w:eastAsia="hu-HU"/>
              </w:rPr>
              <w:t xml:space="preserve">: </w:t>
            </w:r>
            <w:r w:rsidRPr="00A01138">
              <w:rPr>
                <w:rFonts w:eastAsia="MyriadPro-Semibold"/>
                <w:color w:val="FF0000"/>
                <w:lang w:eastAsia="hu-HU"/>
              </w:rPr>
              <w:t>2017/03/01</w:t>
            </w:r>
            <w:r w:rsidRPr="00183F85">
              <w:rPr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sz w:val="18"/>
                <w:szCs w:val="18"/>
                <w:lang w:eastAsia="hu-HU"/>
              </w:rPr>
              <w:t xml:space="preserve">/ Befejezés: </w:t>
            </w:r>
            <w:r w:rsidRPr="00E44E5F">
              <w:rPr>
                <w:rFonts w:eastAsia="MyriadPro-Semibold"/>
                <w:color w:val="0000CC"/>
                <w:lang w:eastAsia="hu-HU"/>
              </w:rPr>
              <w:t>2019/12/31</w:t>
            </w:r>
          </w:p>
          <w:p w:rsidR="006430AC" w:rsidRPr="00F31610" w:rsidRDefault="006430AC" w:rsidP="00A01138">
            <w:pPr>
              <w:spacing w:before="120" w:after="120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 szerződés meghosszabbítható </w:t>
            </w:r>
            <w:r w:rsidRPr="004558CE">
              <w:rPr>
                <w:rFonts w:eastAsia="MyriadPro-Semibold"/>
                <w:color w:val="FF0000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igen </w:t>
            </w:r>
            <w:r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nem A meghosszabbítás leírása: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A01138">
              <w:rPr>
                <w:rFonts w:eastAsia="MyriadPro-Semibold"/>
                <w:color w:val="FF0000"/>
                <w:lang w:eastAsia="hu-HU"/>
              </w:rPr>
              <w:t>A szerződés további 1 évvel meghosszabbítható változatlan feltételekkel, amennyiben a nyertes szolgáltató teljesítése az Ajánlatkérők számára megfelelő.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(nyílt eljárás kivételével)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A gazdasági szereplők tervezett száma (keretszáma): [ ]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Tervezett minimum: [ ] / Maximális szám: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sz w:val="18"/>
                <w:szCs w:val="18"/>
                <w:lang w:eastAsia="hu-HU"/>
              </w:rPr>
              <w:t xml:space="preserve"> [ ]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A jelentkezők számának korlátozására vonatkozó objektív szempontok: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II.2.9) Változatokra (alternatív ajánlatokra) vonatkozó információk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Elfogadhatók változatok (alternatív ajánlatok) </w:t>
            </w:r>
            <w:r>
              <w:rPr>
                <w:rFonts w:eastAsia="MyriadPro-Semibold"/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II.2.10) Opciókra vonatkozó információ</w:t>
            </w:r>
          </w:p>
          <w:p w:rsidR="006430AC" w:rsidRPr="00F31610" w:rsidRDefault="006430AC" w:rsidP="00937258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Opciók </w:t>
            </w: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igen </w:t>
            </w:r>
            <w:r>
              <w:rPr>
                <w:rFonts w:eastAsia="MyriadPro-Semibold"/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II.2.11) Információ az elektronikus katalógusokról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Az ajánlatokat elektronikus katalógus formájában kell benyújtani, vagy azoknak elektronikus katalógust kell tartalmazniuk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II.2.12) Európai uniós alapokra vonatkozó információk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igen </w:t>
            </w:r>
            <w:r>
              <w:rPr>
                <w:rFonts w:eastAsia="MyriadPro-Semibold"/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nem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5830B0" w:rsidRDefault="006430AC" w:rsidP="0042537D">
            <w:pPr>
              <w:spacing w:before="120" w:after="120"/>
              <w:jc w:val="left"/>
              <w:rPr>
                <w:b/>
                <w:bCs/>
                <w:sz w:val="18"/>
                <w:szCs w:val="18"/>
                <w:lang w:eastAsia="hu-HU"/>
              </w:rPr>
            </w:pPr>
            <w:r w:rsidRPr="005830B0">
              <w:rPr>
                <w:b/>
                <w:bCs/>
                <w:sz w:val="18"/>
                <w:szCs w:val="18"/>
                <w:lang w:eastAsia="hu-HU"/>
              </w:rPr>
              <w:t>II.2.13) További információ</w:t>
            </w:r>
          </w:p>
          <w:p w:rsidR="006430AC" w:rsidRPr="005830B0" w:rsidRDefault="006430AC" w:rsidP="00CC09B2">
            <w:pPr>
              <w:spacing w:before="120" w:after="120"/>
              <w:rPr>
                <w:rFonts w:eastAsia="MyriadPro-Semibold"/>
                <w:lang w:eastAsia="hu-HU"/>
              </w:rPr>
            </w:pPr>
            <w:r w:rsidRPr="005830B0">
              <w:rPr>
                <w:rFonts w:eastAsia="MyriadPro-Semibold"/>
                <w:color w:val="0000CC"/>
                <w:lang w:eastAsia="hu-HU"/>
              </w:rPr>
              <w:t xml:space="preserve">Ajánlattevőnek az alapajánlaton túlmenően lehetősége van alternatív ajánlatot is benyújtani a szolgáltatás teljesítésére. Alternatív ajánlattétellel kapcsolatos Ajánlatkérői elvárások, illetve az alap ajánlatadáshoz képest meghatározott eltérések: </w:t>
            </w:r>
          </w:p>
          <w:p w:rsidR="006430AC" w:rsidRDefault="006430AC" w:rsidP="00635DD4">
            <w:pPr>
              <w:rPr>
                <w:rFonts w:eastAsia="MyriadPro-Semibold"/>
                <w:color w:val="0000CC"/>
                <w:lang w:eastAsia="hu-HU"/>
              </w:rPr>
            </w:pPr>
            <w:r w:rsidRPr="005830B0">
              <w:rPr>
                <w:rFonts w:eastAsia="MyriadPro-Semibold"/>
                <w:color w:val="0000CC"/>
                <w:lang w:eastAsia="hu-HU"/>
              </w:rPr>
              <w:t>A központi háziorvosi ügyelet ellátására meghatározott időszakon belül munkanapokon 22:00 órától másnap reggel 08:00 óráig, valamint munkaszüneti, szabad- és ünnepnapokon 20:00 órától másnap reggel 08:00 óráig ajánlattevőnek lehetősége van az ügyeleti feladatokat Zirctől maximum 55 km-re lévő más telephelyéről ellátni, azzal hogy a más telephelyen történő orvosi ügyelet ellátásának időtartama alatt a Zircen legalább 1 fő megfelelő szakképesítéssel rendelkező orvos/mentőtiszt ügyeletben tartását biztosítja.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>III.1) Részvételi feltételek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58"/>
        <w:gridCol w:w="5037"/>
      </w:tblGrid>
      <w:tr w:rsidR="006430AC" w:rsidRPr="00F31610">
        <w:tc>
          <w:tcPr>
            <w:tcW w:w="9795" w:type="dxa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</w:p>
          <w:p w:rsidR="006430AC" w:rsidRDefault="006430AC" w:rsidP="004349C0">
            <w:r w:rsidRPr="00F31610">
              <w:rPr>
                <w:sz w:val="18"/>
                <w:szCs w:val="18"/>
                <w:lang w:eastAsia="hu-HU"/>
              </w:rPr>
              <w:t>A kizáró okok felsorolása:</w:t>
            </w:r>
            <w:r>
              <w:t xml:space="preserve"> </w:t>
            </w:r>
          </w:p>
          <w:p w:rsidR="006430AC" w:rsidRDefault="006430AC" w:rsidP="004349C0">
            <w:pPr>
              <w:rPr>
                <w:rFonts w:eastAsia="MyriadPro-Semibold"/>
                <w:color w:val="0000CC"/>
                <w:lang w:eastAsia="hu-HU"/>
              </w:rPr>
            </w:pPr>
            <w:r w:rsidRPr="00E334E7">
              <w:rPr>
                <w:rFonts w:eastAsia="MyriadPro-Semibold"/>
                <w:color w:val="0000CC"/>
                <w:lang w:eastAsia="hu-HU"/>
              </w:rPr>
              <w:t>Az eljárásban nem lehet ajánlattevő, alvállalkozó és nem vehet részt az alkalmasság igazolásában olyan gazdasági szereplő, aki a Kbt. 62. § (1)-(2) bekezdéseiben foglaltak hatálya alá tartozik.</w:t>
            </w:r>
          </w:p>
          <w:p w:rsidR="006430AC" w:rsidRPr="004349C0" w:rsidRDefault="006430AC" w:rsidP="004349C0">
            <w:pPr>
              <w:rPr>
                <w:rFonts w:eastAsia="MyriadPro-Semibold"/>
                <w:color w:val="0000CC"/>
                <w:lang w:eastAsia="hu-HU"/>
              </w:rPr>
            </w:pPr>
            <w:r w:rsidRPr="00E334E7">
              <w:rPr>
                <w:rFonts w:eastAsia="MyriadPro-Semibold"/>
                <w:color w:val="0000CC"/>
                <w:lang w:eastAsia="hu-HU"/>
              </w:rPr>
              <w:t>A Kbt. 74. § (1) bekezdése alapján az eljárásból ki kell zárni azt az ajánlattevőt, alvállalkozót vagy az alkalmasság igazolásában részt vevő szervezetet, aki a fentiekben előírt kizáró okok hatálya alá tartozik, vagy akinek részéről a kizáró okok bármelyike az eljárás során következett be.</w:t>
            </w:r>
          </w:p>
          <w:p w:rsidR="006430AC" w:rsidRDefault="006430AC" w:rsidP="004349C0">
            <w:r w:rsidRPr="00F31610">
              <w:rPr>
                <w:sz w:val="18"/>
                <w:szCs w:val="18"/>
                <w:lang w:eastAsia="hu-HU"/>
              </w:rPr>
              <w:t>Az igazolási módok felsorolása és rövid leírása:</w:t>
            </w:r>
            <w:r>
              <w:t xml:space="preserve"> </w:t>
            </w:r>
          </w:p>
          <w:p w:rsidR="006430AC" w:rsidRPr="00E334E7" w:rsidRDefault="006430AC" w:rsidP="004349C0">
            <w:pPr>
              <w:rPr>
                <w:rFonts w:eastAsia="MyriadPro-Semibold"/>
                <w:color w:val="0000CC"/>
                <w:lang w:eastAsia="hu-HU"/>
              </w:rPr>
            </w:pPr>
            <w:r w:rsidRPr="00E334E7">
              <w:rPr>
                <w:rFonts w:eastAsia="MyriadPro-Semibold"/>
                <w:color w:val="0000CC"/>
                <w:lang w:eastAsia="hu-HU"/>
              </w:rPr>
              <w:t>A Kbt. 114. § (2) bekezdése és a 321/2015. (X. 30.) Korm. rendelet 17. §-a alapján a kizáró okok fenn nem állásáról az ajánlattevőnek egyszerű nyilatkozatot kell benyújtania, valamint a Kbt. 62. § (1) bekezdés k) pont kb) alpontja esetében a hivatkozott Korm. rendelet 8. § i) pont ib) alpontja és a 10. § g) pont gb) alpontjában foglaltak szerint kell eljárnia.</w:t>
            </w:r>
          </w:p>
          <w:p w:rsidR="006430AC" w:rsidRPr="00E334E7" w:rsidRDefault="006430AC" w:rsidP="004349C0">
            <w:pPr>
              <w:rPr>
                <w:rFonts w:eastAsia="MyriadPro-Semibold"/>
                <w:color w:val="0000CC"/>
                <w:lang w:eastAsia="hu-HU"/>
              </w:rPr>
            </w:pPr>
            <w:r w:rsidRPr="00E334E7">
              <w:rPr>
                <w:rFonts w:eastAsia="MyriadPro-Semibold"/>
                <w:color w:val="0000CC"/>
                <w:lang w:eastAsia="hu-HU"/>
              </w:rPr>
              <w:t>Ajánlattevőnek az alvállalkozója és adott esetben az alkalmasság igazolásában részt vevő más szervezet (személy) vonatkozásában a hivatkozott Korm. rendelet 17. § (2) bekezdése szerint kell eljárnia.</w:t>
            </w:r>
          </w:p>
          <w:p w:rsidR="006430AC" w:rsidRPr="004349C0" w:rsidRDefault="006430AC" w:rsidP="004349C0">
            <w:pPr>
              <w:rPr>
                <w:rFonts w:eastAsia="MyriadPro-Semibold"/>
                <w:color w:val="0000CC"/>
                <w:lang w:eastAsia="hu-HU"/>
              </w:rPr>
            </w:pPr>
            <w:r w:rsidRPr="00E334E7">
              <w:rPr>
                <w:rFonts w:eastAsia="MyriadPro-Semibold"/>
                <w:color w:val="0000CC"/>
                <w:lang w:eastAsia="hu-HU"/>
              </w:rPr>
              <w:t>A kizáró okok igazolása körében benyújtandó dokumentumok keltezése nem lehet régebbi az ajánlati felhívás feladásának napjánál.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Szakmai tevékenység végzésére vonatkozó alkalmasság előírása [Kbt. 65. § (1) bekezdés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c)</w:t>
            </w:r>
            <w:r w:rsidRPr="00F31610">
              <w:rPr>
                <w:sz w:val="18"/>
                <w:szCs w:val="18"/>
                <w:lang w:eastAsia="hu-HU"/>
              </w:rPr>
              <w:t xml:space="preserve"> pont]: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Szakmai tevékenység végzésére vonatkozó alkalmasság igazolása:</w:t>
            </w:r>
          </w:p>
        </w:tc>
      </w:tr>
      <w:tr w:rsidR="006430AC" w:rsidRPr="00F31610">
        <w:tc>
          <w:tcPr>
            <w:tcW w:w="9795" w:type="dxa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III.1.2) Gazdasági és pénzügyi alkalmasság</w:t>
            </w:r>
          </w:p>
        </w:tc>
      </w:tr>
      <w:tr w:rsidR="006430AC" w:rsidRPr="00F31610">
        <w:tc>
          <w:tcPr>
            <w:tcW w:w="4758" w:type="dxa"/>
          </w:tcPr>
          <w:p w:rsidR="006430AC" w:rsidRDefault="006430AC" w:rsidP="0042537D">
            <w:pPr>
              <w:spacing w:before="120" w:after="120"/>
              <w:jc w:val="left"/>
              <w:rPr>
                <w:sz w:val="18"/>
                <w:szCs w:val="18"/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6430AC" w:rsidRPr="00E34EF4" w:rsidRDefault="006430AC" w:rsidP="00E34EF4">
            <w:pPr>
              <w:ind w:left="65" w:right="127"/>
              <w:rPr>
                <w:color w:val="0000FF"/>
              </w:rPr>
            </w:pPr>
            <w:r w:rsidRPr="00E34EF4">
              <w:rPr>
                <w:color w:val="0000FF"/>
              </w:rPr>
              <w:t>P1. Ajánlattevő a 321/2015. (X.30.) Korm. rendelet 19.§ (1) bekezdés b) pontja alapján csatolja a saját vagy jogelődje számviteli jogszabályok szerinti beszámolóját az utolsó 3 üzleti évre vonatkozóan.</w:t>
            </w:r>
          </w:p>
          <w:p w:rsidR="006430AC" w:rsidRPr="00E34EF4" w:rsidRDefault="006430AC" w:rsidP="00E34EF4">
            <w:pPr>
              <w:ind w:left="65" w:right="127"/>
              <w:rPr>
                <w:color w:val="0000FF"/>
              </w:rPr>
            </w:pPr>
          </w:p>
          <w:p w:rsidR="006430AC" w:rsidRPr="00E34EF4" w:rsidRDefault="006430AC" w:rsidP="00E34EF4">
            <w:pPr>
              <w:ind w:left="65" w:right="127"/>
              <w:rPr>
                <w:color w:val="0000FF"/>
              </w:rPr>
            </w:pPr>
            <w:r w:rsidRPr="00E34EF4">
              <w:rPr>
                <w:color w:val="0000FF"/>
              </w:rPr>
              <w:t>Amennyiben az ajánlattevő letelepedése szerinti ország joga előírja a közzétételét, és amennyiben az ajánlatkérő által kért számviteli jogszabályok szerinti beszámoló a céginformációs szolgálat honlapján megismerhető, a beszámoló adatait az ajánlatkérő ellenőrzi, így a céginformációs szolgálat honlapján megtalálható beszámoló csatolása az ajánlatban nem szükséges, figyelemmel a 321/2015. (X.30.) Korm. rendelet 19.§ (1) bekezdés b) pontjára.</w:t>
            </w:r>
          </w:p>
          <w:p w:rsidR="006430AC" w:rsidRPr="00E34EF4" w:rsidRDefault="006430AC" w:rsidP="00E34EF4">
            <w:pPr>
              <w:ind w:left="65" w:right="127"/>
              <w:rPr>
                <w:color w:val="0000FF"/>
              </w:rPr>
            </w:pPr>
          </w:p>
          <w:p w:rsidR="006430AC" w:rsidRPr="00E34EF4" w:rsidRDefault="006430AC" w:rsidP="00E34EF4">
            <w:pPr>
              <w:ind w:left="65" w:right="127"/>
              <w:rPr>
                <w:color w:val="0000FF"/>
              </w:rPr>
            </w:pPr>
            <w:r w:rsidRPr="00E34EF4">
              <w:rPr>
                <w:color w:val="0000FF"/>
              </w:rPr>
              <w:t>Ha az ajánlattevő olyan jogi formában működik, amelynek tekintetében a számviteli jogszabályok szerinti beszámoló, illetve árbevételről szóló nyilatkozat benyújtása nem lehetséges, úgy a 321/2015. (X.30.) Korm. rendelet 19.§ (3) bekezdését kell figyelembe venni.</w:t>
            </w:r>
          </w:p>
          <w:p w:rsidR="006430AC" w:rsidRDefault="006430AC" w:rsidP="00E34EF4">
            <w:pPr>
              <w:rPr>
                <w:color w:val="0000FF"/>
              </w:rPr>
            </w:pPr>
          </w:p>
          <w:p w:rsidR="006430AC" w:rsidRPr="00E34EF4" w:rsidRDefault="006430AC" w:rsidP="00771F27">
            <w:pPr>
              <w:rPr>
                <w:color w:val="0000FF"/>
              </w:rPr>
            </w:pPr>
            <w:r w:rsidRPr="00771F27">
              <w:rPr>
                <w:color w:val="0000FF"/>
              </w:rPr>
              <w:t>Az előírt</w:t>
            </w:r>
            <w:r>
              <w:rPr>
                <w:color w:val="0000FF"/>
              </w:rPr>
              <w:t xml:space="preserve"> </w:t>
            </w:r>
            <w:r w:rsidRPr="00771F27">
              <w:rPr>
                <w:color w:val="0000FF"/>
              </w:rPr>
              <w:t>alkalmassági követelményeknek a</w:t>
            </w:r>
            <w:r>
              <w:rPr>
                <w:color w:val="0000FF"/>
              </w:rPr>
              <w:t xml:space="preserve"> </w:t>
            </w:r>
            <w:r w:rsidRPr="00771F27">
              <w:rPr>
                <w:color w:val="0000FF"/>
              </w:rPr>
              <w:t>közös ajánlattevők Kbt. 65.§ (6)</w:t>
            </w:r>
            <w:r>
              <w:rPr>
                <w:color w:val="0000FF"/>
              </w:rPr>
              <w:t xml:space="preserve"> </w:t>
            </w:r>
            <w:r w:rsidRPr="00771F27">
              <w:rPr>
                <w:color w:val="0000FF"/>
              </w:rPr>
              <w:t>bekezdés szerint együttesen</w:t>
            </w:r>
            <w:r>
              <w:rPr>
                <w:color w:val="0000FF"/>
              </w:rPr>
              <w:t xml:space="preserve"> </w:t>
            </w:r>
            <w:r w:rsidRPr="00771F27">
              <w:rPr>
                <w:color w:val="0000FF"/>
              </w:rPr>
              <w:t>megfelelhetnek.</w:t>
            </w:r>
          </w:p>
          <w:p w:rsidR="006430AC" w:rsidRDefault="006430AC" w:rsidP="00E34EF4">
            <w:pPr>
              <w:spacing w:before="120" w:after="120"/>
              <w:ind w:left="65" w:right="127"/>
              <w:rPr>
                <w:color w:val="0000FF"/>
              </w:rPr>
            </w:pPr>
            <w:r w:rsidRPr="00E34EF4">
              <w:rPr>
                <w:color w:val="0000FF"/>
              </w:rPr>
              <w:t>Ajánlattevő a Kbt. 65.§ (7) bekezdése alapján más szervezet (vagy személy) kapacitására támaszkodva is megfelelhet, a közöttük fennálló kapcsolat jogi jellegétől függetlenül. Ebben az esetben meg kell jelölni az ajánlatban azon alkalmassági követelményt (követelményeket) melynek igazolása érdekében az ajánlattevő ezen szervezet erőforrására (is) támaszkodik. A kapacitást rendelkezésre bocsátó szervezet az előírt igazolási módokkal azonos módon köteles igazolni az adott alkalmassági feltételnek történő megfelelést, továbbá köteles nyilatkozni, hogy a szerződés teljesítéséhez szükséges erőforrások rendelkezésre állnak majd a szerződés teljesítésének időtartama alatt.</w:t>
            </w:r>
          </w:p>
          <w:p w:rsidR="006430AC" w:rsidRPr="00771F27" w:rsidRDefault="006430AC" w:rsidP="00771F27">
            <w:pPr>
              <w:spacing w:before="120" w:after="120"/>
              <w:ind w:left="65" w:right="127"/>
              <w:rPr>
                <w:color w:val="0000FF"/>
              </w:rPr>
            </w:pPr>
            <w:r>
              <w:rPr>
                <w:color w:val="0000FF"/>
              </w:rPr>
              <w:t xml:space="preserve">Az ajánlattevő a Kbt. 114.§ (2) bekezdésének megfelelően ajánlatban </w:t>
            </w:r>
            <w:r w:rsidRPr="00771F27">
              <w:rPr>
                <w:color w:val="0000FF"/>
              </w:rPr>
              <w:t>csupán arról köteles nyilatkozni, hogy az alkalmassági követelmények teljesülnek, az alkalmassági követelmények teljesítésére vonatkozó részletes adatokat nem köteles megadni.</w:t>
            </w:r>
          </w:p>
          <w:p w:rsidR="006430AC" w:rsidRPr="00F31610" w:rsidRDefault="006430AC" w:rsidP="00771F27">
            <w:pPr>
              <w:spacing w:before="120" w:after="120"/>
              <w:ind w:left="65" w:right="127"/>
              <w:rPr>
                <w:lang w:eastAsia="hu-HU"/>
              </w:rPr>
            </w:pPr>
            <w:r w:rsidRPr="00771F27">
              <w:rPr>
                <w:color w:val="0000FF"/>
              </w:rPr>
              <w:t>Az ajánlattevő az alkalmassági követelmények teljesítésére vonatkozó részletes adatokat tartalmazó, a P1) alkalmassági követelmények tekintetében előírt nyilatkozatokat és/vagy igazolásokat az ajánlatkérő Kbt. 69. § szerinti felhívására köteles benyújtani.</w:t>
            </w:r>
          </w:p>
        </w:tc>
        <w:tc>
          <w:tcPr>
            <w:tcW w:w="5037" w:type="dxa"/>
          </w:tcPr>
          <w:p w:rsidR="006430AC" w:rsidRDefault="006430AC" w:rsidP="0042537D">
            <w:pPr>
              <w:spacing w:before="120" w:after="120"/>
              <w:ind w:left="280" w:hanging="280"/>
              <w:jc w:val="left"/>
              <w:rPr>
                <w:sz w:val="18"/>
                <w:szCs w:val="18"/>
                <w:lang w:eastAsia="hu-HU"/>
              </w:rPr>
            </w:pP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Alkalmassági minimumkövetelmény(ek) meghatározása:</w:t>
            </w:r>
          </w:p>
          <w:p w:rsidR="006430AC" w:rsidRPr="00036A56" w:rsidRDefault="006430AC" w:rsidP="00036A56">
            <w:pPr>
              <w:pStyle w:val="Norml-1"/>
              <w:ind w:left="65" w:right="127"/>
              <w:rPr>
                <w:rFonts w:eastAsia="MyriadPro-Semibold"/>
                <w:color w:val="0000CC"/>
              </w:rPr>
            </w:pPr>
            <w:r w:rsidRPr="00036A56">
              <w:rPr>
                <w:rFonts w:eastAsia="MyriadPro-Semibold"/>
                <w:color w:val="0000CC"/>
              </w:rPr>
              <w:t>P1. Alkalmatlan az ajánlattevő, ha az utolsó 3 üzleti évében saját, vagy jogelődje mérleg szerinti eredménye egynél több üzleti évben negatív volt.</w:t>
            </w:r>
          </w:p>
          <w:p w:rsidR="006430AC" w:rsidRPr="00F31610" w:rsidRDefault="006430AC" w:rsidP="005830B0">
            <w:pPr>
              <w:pStyle w:val="Norml-1"/>
              <w:ind w:left="65" w:right="127"/>
            </w:pPr>
            <w:r w:rsidRPr="00036A56">
              <w:rPr>
                <w:rFonts w:eastAsia="MyriadPro-Semibold"/>
                <w:color w:val="0000CC"/>
              </w:rPr>
              <w:t>A 321/2015. (X.30.) Korm. rendelet 19.§ (2) bekezdésére tekintettel a később létrejött gazdasági szereplőktől megkövetelt közbeszerzés tárgyából származó (</w:t>
            </w:r>
            <w:r w:rsidRPr="005830B0">
              <w:rPr>
                <w:rFonts w:eastAsia="MyriadPro-Semibold"/>
                <w:color w:val="0000CC"/>
              </w:rPr>
              <w:t>központi háziorvosi ügyeleti szolgáltatás ellátásából, illetve egészségügyi alapellátási, szakellátási tevékenység ellátásából származó) - általános forgalmi adó nélkül számított - árbevétele mértékét 40.000.000,- Ft-ban határozza meg.</w:t>
            </w:r>
          </w:p>
        </w:tc>
      </w:tr>
      <w:tr w:rsidR="006430AC" w:rsidRPr="00F31610">
        <w:tc>
          <w:tcPr>
            <w:tcW w:w="9795" w:type="dxa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III.1.3) Műszaki, illetve szakmai alkalmasság</w:t>
            </w:r>
          </w:p>
        </w:tc>
      </w:tr>
      <w:tr w:rsidR="006430AC" w:rsidRPr="00F31610">
        <w:tc>
          <w:tcPr>
            <w:tcW w:w="4758" w:type="dxa"/>
          </w:tcPr>
          <w:p w:rsidR="006430AC" w:rsidRDefault="006430AC" w:rsidP="0042537D">
            <w:pPr>
              <w:spacing w:before="120" w:after="120"/>
              <w:jc w:val="left"/>
              <w:rPr>
                <w:sz w:val="18"/>
                <w:szCs w:val="18"/>
                <w:vertAlign w:val="superscript"/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Az igazolási módok felsorolása és rövid leírása: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25195D" w:rsidRDefault="006430AC" w:rsidP="00904282">
            <w:pPr>
              <w:pStyle w:val="Norml-1"/>
              <w:ind w:left="65" w:right="127"/>
              <w:rPr>
                <w:color w:val="0000FF"/>
              </w:rPr>
            </w:pPr>
            <w:r w:rsidRPr="005830B0">
              <w:rPr>
                <w:color w:val="0000FF"/>
              </w:rPr>
              <w:t>M1. Ajánlattevőnek ajánlatába csatolnia kell az ajánlatához a 321/2015. (X.30.) Korm. rendelet 21. § (3) bekezdés b) pontja alapján azoknak a szakembereknek (orvos/ápoló/szakasszisztens/mentőtiszt/ gépkocsivezető), illetőleg vezetőknek – különösen a minőség-ellenőrzésért felelősöknek – a megnevezése, végzettségének és képzettségének ismertetése, akiket a teljesítésbe be kíván vonni. A szakemberek bemutatása során a képzettséget (iskolai oklevél), szakmai tapasztalatot alátámasztó és igazoló dokumentumok (a szakember által saját kezűleg aláírt önéletrajz), valamint az adott szakemberek által a rendelkezésre állás tekintetében aláírt nyilatkozatok csatolandók, továbbá gépkocsivezető esetében benyújtandó a PÁV I. minősítésű gépjárművezetői engedély másolata.</w:t>
            </w:r>
          </w:p>
          <w:p w:rsidR="006430AC" w:rsidRPr="00043B4B" w:rsidRDefault="006430AC" w:rsidP="00043B4B">
            <w:pPr>
              <w:pStyle w:val="Norml-1"/>
              <w:ind w:left="65" w:right="127"/>
              <w:rPr>
                <w:rFonts w:eastAsia="MyriadPro-Semibold"/>
                <w:color w:val="0000CC"/>
              </w:rPr>
            </w:pPr>
          </w:p>
          <w:p w:rsidR="006430AC" w:rsidRPr="00043B4B" w:rsidRDefault="006430AC" w:rsidP="00043B4B">
            <w:pPr>
              <w:pStyle w:val="Norml-1"/>
              <w:ind w:left="65" w:right="127"/>
              <w:rPr>
                <w:rFonts w:eastAsia="MyriadPro-Semibold"/>
                <w:color w:val="0000CC"/>
              </w:rPr>
            </w:pPr>
            <w:r>
              <w:rPr>
                <w:color w:val="0000FF"/>
              </w:rPr>
              <w:t>Az előírt alkalmassági követelményeknek a közös ajánlattevők Kbt. 65.§ (6) bekezdés szerint együttesen megfelelhetnek.</w:t>
            </w:r>
          </w:p>
          <w:p w:rsidR="006430AC" w:rsidRDefault="006430AC" w:rsidP="00771F27">
            <w:pPr>
              <w:pStyle w:val="Norml-1"/>
              <w:ind w:left="65" w:right="127"/>
            </w:pPr>
            <w:r w:rsidRPr="00771F27">
              <w:rPr>
                <w:color w:val="0000FF"/>
              </w:rPr>
              <w:t xml:space="preserve">Ajánlattevő a Kbt. 65.§ (7) bekezdése alapján más szervezet (vagy személy) kapacitására támaszkodva is megfelelhet, a közöttük fennálló kapcsolat jogi jellegétől függetlenül. Ebben az esetben meg kell jelölni az ajánlatban azon alkalmassági követelményt (követelményeket) melynek igazolása érdekében az ajánlattevő ezen szervezet erőforrására (is) támaszkodik. A kapacitást rendelkezésre bocsátó szervezet az előírt igazolási módokkal azonos módon köteles igazolni az adott alkalmassági feltételnek történő megfelelést, továbbá köteles nyilatkozni, hogy a szerződés teljesítéséhez szükséges erőforrások rendelkezésre állnak majd a szerződés teljesítésének időtartama alatt. </w:t>
            </w:r>
          </w:p>
          <w:p w:rsidR="006430AC" w:rsidRPr="00771F27" w:rsidRDefault="006430AC" w:rsidP="00771F27">
            <w:pPr>
              <w:pStyle w:val="Norml-1"/>
              <w:ind w:left="65" w:right="127"/>
              <w:rPr>
                <w:color w:val="0000FF"/>
              </w:rPr>
            </w:pPr>
            <w:r w:rsidRPr="00771F27">
              <w:rPr>
                <w:color w:val="0000FF"/>
              </w:rPr>
              <w:t>Az ajánlattevő a</w:t>
            </w:r>
            <w:r>
              <w:rPr>
                <w:color w:val="0000FF"/>
              </w:rPr>
              <w:t xml:space="preserve"> Kbt. 114.§ (2) bekezdésének megfelelően</w:t>
            </w:r>
            <w:r w:rsidRPr="00771F27">
              <w:rPr>
                <w:color w:val="0000FF"/>
              </w:rPr>
              <w:t xml:space="preserve"> ajánlatban csupán arról köteles nyilatkozni, hogy az alábbi M1. szerinti alkalmassági követelmények teljesülnek (azoknak megfelel), az alkalmassági követelmények teljesítésére vonatkozó részletes adatokat nem köteles megadni.</w:t>
            </w:r>
          </w:p>
          <w:p w:rsidR="006430AC" w:rsidRPr="00F31610" w:rsidRDefault="006430AC" w:rsidP="00BC3D56">
            <w:pPr>
              <w:pStyle w:val="Norml-1"/>
              <w:ind w:left="65" w:right="127"/>
            </w:pPr>
            <w:r w:rsidRPr="00771F27">
              <w:rPr>
                <w:color w:val="0000FF"/>
              </w:rPr>
              <w:t>Az ajánlattevő az alkalmassági követelmények teljesítésére vonatkozó részletes adatokat tartalmazó, az M1. alkalmassági követelmények tekintetében előírt alábbi nyilatkozatokat és igazolásokat az ajánlatkérő Kbt. 69. § szerinti felhívására köteles benyújtani.</w:t>
            </w:r>
          </w:p>
        </w:tc>
        <w:tc>
          <w:tcPr>
            <w:tcW w:w="5037" w:type="dxa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Alkalmassági minimumkövetelmény(ek):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Default="006430AC" w:rsidP="0042537D">
            <w:pPr>
              <w:spacing w:before="120" w:after="120"/>
              <w:jc w:val="left"/>
              <w:rPr>
                <w:sz w:val="18"/>
                <w:szCs w:val="18"/>
                <w:vertAlign w:val="superscript"/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Ha alkalmassági minimumkövetelmény nem került meghatározásra, ennek indokolása: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904282" w:rsidRDefault="006430AC" w:rsidP="00904282">
            <w:pPr>
              <w:spacing w:before="120" w:after="120"/>
              <w:ind w:right="61"/>
              <w:rPr>
                <w:rFonts w:eastAsia="MyriadPro-Semibold"/>
                <w:color w:val="0000CC"/>
              </w:rPr>
            </w:pPr>
            <w:r w:rsidRPr="00043B4B">
              <w:rPr>
                <w:rFonts w:eastAsia="MyriadPro-Semibold"/>
                <w:color w:val="0000CC"/>
                <w:lang w:eastAsia="hu-HU"/>
              </w:rPr>
              <w:t>M</w:t>
            </w:r>
            <w:r>
              <w:rPr>
                <w:rFonts w:eastAsia="MyriadPro-Semibold"/>
                <w:color w:val="0000CC"/>
                <w:lang w:eastAsia="hu-HU"/>
              </w:rPr>
              <w:t>1.</w:t>
            </w:r>
            <w:r w:rsidRPr="00043B4B">
              <w:rPr>
                <w:rFonts w:eastAsia="MyriadPro-Semibold"/>
                <w:color w:val="0000CC"/>
                <w:lang w:eastAsia="hu-HU"/>
              </w:rPr>
              <w:t xml:space="preserve"> </w:t>
            </w:r>
            <w:r w:rsidRPr="00904282">
              <w:rPr>
                <w:rFonts w:eastAsia="MyriadPro-Semibold"/>
                <w:color w:val="0000CC"/>
              </w:rPr>
              <w:t>Alkalmatlan az ajánlattevő amennyiben nem</w:t>
            </w:r>
            <w:r>
              <w:rPr>
                <w:rFonts w:eastAsia="MyriadPro-Semibold"/>
                <w:color w:val="0000CC"/>
              </w:rPr>
              <w:t xml:space="preserve"> </w:t>
            </w:r>
            <w:r w:rsidRPr="00904282">
              <w:rPr>
                <w:rFonts w:eastAsia="MyriadPro-Semibold"/>
                <w:color w:val="0000CC"/>
              </w:rPr>
              <w:t xml:space="preserve">rendelkezik 1 </w:t>
            </w:r>
            <w:r>
              <w:rPr>
                <w:rFonts w:eastAsia="MyriadPro-Semibold"/>
                <w:color w:val="0000CC"/>
              </w:rPr>
              <w:t xml:space="preserve">ügyeleti időszakban legalább 1 fő  orvossal </w:t>
            </w:r>
            <w:r w:rsidRPr="00904282">
              <w:rPr>
                <w:rFonts w:eastAsia="MyriadPro-Semibold"/>
                <w:color w:val="0000CC"/>
              </w:rPr>
              <w:t>(a 4/2000. EüM</w:t>
            </w:r>
            <w:r>
              <w:rPr>
                <w:rFonts w:eastAsia="MyriadPro-Semibold"/>
                <w:color w:val="0000CC"/>
              </w:rPr>
              <w:t xml:space="preserve"> </w:t>
            </w:r>
            <w:r w:rsidRPr="00904282">
              <w:rPr>
                <w:rFonts w:eastAsia="MyriadPro-Semibold"/>
                <w:color w:val="0000CC"/>
              </w:rPr>
              <w:t>rendelet 11. § (9) bekezdése rendelkezés szerinti</w:t>
            </w:r>
            <w:r>
              <w:rPr>
                <w:rFonts w:eastAsia="MyriadPro-Semibold"/>
                <w:color w:val="0000CC"/>
              </w:rPr>
              <w:t xml:space="preserve"> </w:t>
            </w:r>
            <w:r w:rsidRPr="00904282">
              <w:rPr>
                <w:rFonts w:eastAsia="MyriadPro-Semibold"/>
                <w:color w:val="0000CC"/>
              </w:rPr>
              <w:t xml:space="preserve">képesítéssel) továbbá legalább </w:t>
            </w:r>
            <w:r>
              <w:rPr>
                <w:rFonts w:eastAsia="MyriadPro-Semibold"/>
                <w:color w:val="0000CC"/>
              </w:rPr>
              <w:t xml:space="preserve">1 </w:t>
            </w:r>
            <w:r w:rsidRPr="00904282">
              <w:rPr>
                <w:rFonts w:eastAsia="MyriadPro-Semibold"/>
                <w:color w:val="0000CC"/>
              </w:rPr>
              <w:t>fő</w:t>
            </w:r>
            <w:r>
              <w:rPr>
                <w:rFonts w:eastAsia="MyriadPro-Semibold"/>
                <w:color w:val="0000CC"/>
              </w:rPr>
              <w:t xml:space="preserve"> szakdolgozóval (a 60/2003. (X.20.) ESzCsM rendelet központi ügyeletre vonatkozó mellékletben megjelölt szakdolgozóval) </w:t>
            </w:r>
            <w:r w:rsidRPr="00904282">
              <w:rPr>
                <w:rFonts w:eastAsia="MyriadPro-Semibold"/>
                <w:color w:val="0000CC"/>
              </w:rPr>
              <w:t>és legalább</w:t>
            </w:r>
            <w:r>
              <w:rPr>
                <w:rFonts w:eastAsia="MyriadPro-Semibold"/>
                <w:color w:val="0000CC"/>
              </w:rPr>
              <w:t xml:space="preserve"> </w:t>
            </w:r>
            <w:r w:rsidRPr="00904282">
              <w:rPr>
                <w:rFonts w:eastAsia="MyriadPro-Semibold"/>
                <w:color w:val="0000CC"/>
              </w:rPr>
              <w:t>1</w:t>
            </w:r>
            <w:r>
              <w:rPr>
                <w:rFonts w:eastAsia="MyriadPro-Semibold"/>
                <w:color w:val="0000CC"/>
              </w:rPr>
              <w:t xml:space="preserve"> </w:t>
            </w:r>
            <w:r w:rsidRPr="00904282">
              <w:rPr>
                <w:rFonts w:eastAsia="MyriadPro-Semibold"/>
                <w:color w:val="0000CC"/>
              </w:rPr>
              <w:t>fő gépkocsivezetővel, aki rendelkezik PÁV I. minősítésű</w:t>
            </w:r>
            <w:r>
              <w:rPr>
                <w:rFonts w:eastAsia="MyriadPro-Semibold"/>
                <w:color w:val="0000CC"/>
              </w:rPr>
              <w:t xml:space="preserve"> </w:t>
            </w:r>
            <w:r w:rsidRPr="00904282">
              <w:rPr>
                <w:rFonts w:eastAsia="MyriadPro-Semibold"/>
                <w:color w:val="0000CC"/>
              </w:rPr>
              <w:t>gépjárművezetői engedéllyel.</w:t>
            </w:r>
          </w:p>
          <w:p w:rsidR="006430AC" w:rsidRPr="00F31610" w:rsidRDefault="006430AC" w:rsidP="00BB59FD">
            <w:pPr>
              <w:spacing w:before="120" w:after="120"/>
              <w:ind w:right="61"/>
              <w:rPr>
                <w:lang w:eastAsia="hu-HU"/>
              </w:rPr>
            </w:pPr>
          </w:p>
        </w:tc>
      </w:tr>
      <w:tr w:rsidR="006430AC" w:rsidRPr="00F31610">
        <w:tc>
          <w:tcPr>
            <w:tcW w:w="9795" w:type="dxa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 xml:space="preserve">III.1.4) A részvételre vonatkozó objektív szabályok és kritériumok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6430AC" w:rsidRPr="00F31610">
        <w:tc>
          <w:tcPr>
            <w:tcW w:w="9795" w:type="dxa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  <w:tr w:rsidR="006430AC" w:rsidRPr="00F31610">
        <w:tc>
          <w:tcPr>
            <w:tcW w:w="9795" w:type="dxa"/>
            <w:gridSpan w:val="2"/>
          </w:tcPr>
          <w:p w:rsidR="006430AC" w:rsidRDefault="006430AC" w:rsidP="0042537D">
            <w:pPr>
              <w:spacing w:before="120" w:after="120"/>
              <w:jc w:val="left"/>
              <w:rPr>
                <w:sz w:val="18"/>
                <w:szCs w:val="18"/>
                <w:vertAlign w:val="superscript"/>
                <w:lang w:eastAsia="hu-HU"/>
              </w:rPr>
            </w:pPr>
            <w:r w:rsidRPr="00F92025">
              <w:rPr>
                <w:b/>
                <w:bCs/>
                <w:sz w:val="18"/>
                <w:szCs w:val="18"/>
                <w:lang w:eastAsia="hu-HU"/>
              </w:rPr>
              <w:t xml:space="preserve">III.1.6) A szerződés biztosítékai: </w:t>
            </w:r>
            <w:r w:rsidRPr="00F92025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E6118F" w:rsidRDefault="006430AC" w:rsidP="00661ED2">
            <w:pPr>
              <w:spacing w:before="120" w:beforeAutospacing="1" w:after="120" w:afterAutospacing="1"/>
              <w:rPr>
                <w:rFonts w:eastAsia="MyriadPro-Semibold"/>
                <w:color w:val="FF0000"/>
                <w:lang w:eastAsia="hu-HU"/>
              </w:rPr>
            </w:pPr>
            <w:r w:rsidRPr="00B65F02">
              <w:rPr>
                <w:rFonts w:eastAsia="MyriadPro-Semibold"/>
                <w:color w:val="FF0000"/>
                <w:lang w:eastAsia="hu-HU"/>
              </w:rPr>
              <w:t xml:space="preserve">Megbízott a </w:t>
            </w:r>
            <w:r w:rsidRPr="005E11DF">
              <w:rPr>
                <w:rFonts w:eastAsia="MyriadPro-Semibold"/>
                <w:color w:val="FF0000"/>
                <w:lang w:eastAsia="hu-HU"/>
              </w:rPr>
              <w:t xml:space="preserve">tevékenység befejezésének időpontjáig (2019. december 31.) köteles 2.000.000,-Ft, azaz kettőmillió forint összegű biztosítékot nyújtani, amely teljesíthető az </w:t>
            </w:r>
            <w:r w:rsidRPr="005E11DF">
              <w:rPr>
                <w:color w:val="FF0000"/>
              </w:rPr>
              <w:t>- figyelemmel Zirci Járás Önkormányzati Társulás …/2016.(…) határozatában foglaltakra –</w:t>
            </w:r>
            <w:r w:rsidRPr="005E11DF">
              <w:rPr>
                <w:rFonts w:eastAsia="MyriadPro-Semibold"/>
                <w:color w:val="FF0000"/>
                <w:lang w:eastAsia="hu-HU"/>
              </w:rPr>
              <w:t xml:space="preserve"> Zirc Városi Önkormányzat </w:t>
            </w:r>
            <w:r w:rsidRPr="005E11DF">
              <w:rPr>
                <w:color w:val="FF0000"/>
              </w:rPr>
              <w:t>B3 TAKARÉK Szövetkezetnél</w:t>
            </w:r>
            <w:r w:rsidRPr="005E11DF">
              <w:rPr>
                <w:rFonts w:eastAsia="MyriadPro-Semibold"/>
                <w:color w:val="FF0000"/>
                <w:lang w:eastAsia="hu-HU"/>
              </w:rPr>
              <w:t xml:space="preserve"> vezetett </w:t>
            </w:r>
            <w:r w:rsidRPr="005E11DF">
              <w:rPr>
                <w:color w:val="FF0000"/>
              </w:rPr>
              <w:t>73900030-10011719-00000000</w:t>
            </w:r>
            <w:r w:rsidRPr="005E11DF">
              <w:rPr>
                <w:rFonts w:eastAsia="MyriadPro-Semibold"/>
                <w:color w:val="FF0000"/>
                <w:lang w:eastAsia="hu-HU"/>
              </w:rPr>
              <w:t xml:space="preserve"> számlaszámára való befizetéssel, bankgarancia biztos</w:t>
            </w:r>
            <w:r w:rsidRPr="00B65F02">
              <w:rPr>
                <w:rFonts w:eastAsia="MyriadPro-Semibold"/>
                <w:color w:val="FF0000"/>
                <w:lang w:eastAsia="hu-HU"/>
              </w:rPr>
              <w:t>ításával vagy biztosítási szerződés alapján kiállított kézfizető kezességvállalást tartalmazó kötelezvénnyel.</w:t>
            </w:r>
          </w:p>
          <w:p w:rsidR="006430AC" w:rsidRPr="00661ED2" w:rsidRDefault="006430AC" w:rsidP="00661ED2">
            <w:pPr>
              <w:spacing w:before="120" w:after="120"/>
              <w:rPr>
                <w:rFonts w:eastAsia="MyriadPro-Semibold"/>
                <w:color w:val="0000CC"/>
                <w:lang w:eastAsia="hu-HU"/>
              </w:rPr>
            </w:pPr>
            <w:r w:rsidRPr="00661ED2">
              <w:rPr>
                <w:rFonts w:eastAsia="MyriadPro-Semibold"/>
                <w:color w:val="0000CC"/>
                <w:lang w:eastAsia="hu-HU"/>
              </w:rPr>
              <w:t>Felek megállapodnak abban, hogy az ellátási terület lakosságának megfelelő színvonalon történő - tárgy szerinti - közszolgáltatás folyamatos biztosítása érdekében kölcsönösen törekednek a szerződésszerű teljesítésre. Ennek biztosítása érdekében elfogadják, hogy az adott hónapban két alkalmat meghaladó, - a szerződésben meghatározott feltételektől eltérő, ellátási problémát okozó - megbízotti felelősségi körbe tartozó hibás teljesítés következményeként, a megbízó az általa folytatott tárgyhavi megbízási díjat - a megbízottat terhelő kötbér felszámítása jogcímen - 50 %-kal csökkentett mértékben folyósítja.</w:t>
            </w:r>
          </w:p>
          <w:p w:rsidR="006430AC" w:rsidRPr="00F31610" w:rsidRDefault="006430AC" w:rsidP="00661ED2">
            <w:pPr>
              <w:spacing w:before="120" w:after="120"/>
              <w:rPr>
                <w:lang w:eastAsia="hu-HU"/>
              </w:rPr>
            </w:pPr>
            <w:r w:rsidRPr="00661ED2">
              <w:rPr>
                <w:rFonts w:eastAsia="MyriadPro-Semibold"/>
                <w:color w:val="0000CC"/>
                <w:lang w:eastAsia="hu-HU"/>
              </w:rPr>
              <w:t>Megbízott köteles a szerződésben foglalt szolgáltatás vonatkozásában és annak szerződéses időtartamára megfelelő felelősségbiztosítást kötni és azt fenntartani.</w:t>
            </w:r>
          </w:p>
        </w:tc>
      </w:tr>
      <w:tr w:rsidR="006430AC" w:rsidRPr="00F31610">
        <w:tc>
          <w:tcPr>
            <w:tcW w:w="9795" w:type="dxa"/>
            <w:gridSpan w:val="2"/>
          </w:tcPr>
          <w:p w:rsidR="006430AC" w:rsidRDefault="006430AC" w:rsidP="0042537D">
            <w:pPr>
              <w:spacing w:before="120" w:after="120"/>
              <w:jc w:val="left"/>
              <w:rPr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III.1.7) Az ellenszolgáltatás teljesítésének feltételei és / vagy hivatkozás a vonatkozó jogszabályi rendelkezésekre:</w:t>
            </w:r>
          </w:p>
          <w:p w:rsidR="006430AC" w:rsidRPr="00E6118F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>
              <w:rPr>
                <w:rFonts w:eastAsia="MyriadPro-Semibold"/>
                <w:color w:val="0000CC"/>
                <w:lang w:eastAsia="hu-HU"/>
              </w:rPr>
              <w:t xml:space="preserve">Ajánlatkérő az ügyeleti ellátás finanszírozását elsősorban az OEP által biztosított támogatásból biztosítja, a nyertes ajánlattevő, mint Szolgáltató az Országos Egészségbiztosítási Pénztárral köt </w:t>
            </w:r>
            <w:r w:rsidRPr="00E6118F">
              <w:rPr>
                <w:rFonts w:eastAsia="MyriadPro-Semibold"/>
                <w:color w:val="0000CC"/>
                <w:lang w:eastAsia="hu-HU"/>
              </w:rPr>
              <w:t xml:space="preserve">finanszírozási szerződést. Jogszabályi háttér: 43/1999. (III.3.) Korm. rendelet. Az esetleges ezen felüli összeget </w:t>
            </w:r>
            <w:r>
              <w:rPr>
                <w:rFonts w:eastAsia="MyriadPro-Semibold"/>
                <w:color w:val="0000CC"/>
                <w:lang w:eastAsia="hu-HU"/>
              </w:rPr>
              <w:t xml:space="preserve">az </w:t>
            </w:r>
            <w:r>
              <w:rPr>
                <w:rFonts w:eastAsia="MyriadPro-Semibold"/>
                <w:color w:val="FF0000"/>
                <w:lang w:eastAsia="hu-HU"/>
              </w:rPr>
              <w:t>Ajánlatkérőként nevesített települési önkormányzatok</w:t>
            </w:r>
            <w:r w:rsidRPr="00E6118F">
              <w:rPr>
                <w:rFonts w:eastAsia="MyriadPro-Semibold"/>
                <w:color w:val="0000CC"/>
                <w:lang w:eastAsia="hu-HU"/>
              </w:rPr>
              <w:t xml:space="preserve"> havonta a lakosságszám arányában teljesítik a Kbt. 130. §-a alapján a nyertes ajánlattevő részére. Ajánlatkérő előleget nem fizet.</w:t>
            </w:r>
          </w:p>
          <w:p w:rsidR="006430AC" w:rsidRPr="00E6118F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 w:rsidRPr="00E6118F">
              <w:rPr>
                <w:rFonts w:eastAsia="MyriadPro-Semibold"/>
                <w:color w:val="0000CC"/>
                <w:lang w:eastAsia="hu-HU"/>
              </w:rPr>
              <w:t xml:space="preserve">A nyertes Ajánlattevő az </w:t>
            </w:r>
            <w:r>
              <w:rPr>
                <w:rFonts w:eastAsia="MyriadPro-Semibold"/>
                <w:color w:val="FF0000"/>
                <w:lang w:eastAsia="hu-HU"/>
              </w:rPr>
              <w:t>Ajánlatkérőként nevesített települési önkormányzatok</w:t>
            </w:r>
            <w:r w:rsidRPr="00E6118F">
              <w:rPr>
                <w:rFonts w:eastAsia="MyriadPro-Semibold"/>
                <w:color w:val="0000CC"/>
                <w:lang w:eastAsia="hu-HU"/>
              </w:rPr>
              <w:t>tól a nyertes ajánlati ár és az OEP finanszírozás különbségére jogosult. A számlák benyújtásának feltétele, hogy azok kiállítása az igazolt teljesítésnek megfelelően történjen. A jelzett díjkülönbözet kifizetése</w:t>
            </w:r>
            <w:r w:rsidRPr="00D52770">
              <w:rPr>
                <w:rFonts w:eastAsia="MyriadPro-Semibold"/>
                <w:color w:val="0000CC"/>
                <w:lang w:eastAsia="hu-HU"/>
              </w:rPr>
              <w:t xml:space="preserve"> </w:t>
            </w:r>
            <w:r w:rsidRPr="00E6118F">
              <w:rPr>
                <w:rFonts w:eastAsia="MyriadPro-Semibold"/>
                <w:color w:val="0000CC"/>
                <w:lang w:eastAsia="hu-HU"/>
              </w:rPr>
              <w:t xml:space="preserve">az </w:t>
            </w:r>
            <w:r w:rsidRPr="00D52770">
              <w:rPr>
                <w:rFonts w:eastAsia="MyriadPro-Semibold"/>
                <w:color w:val="FF0000"/>
                <w:lang w:eastAsia="hu-HU"/>
              </w:rPr>
              <w:t>Ajánlatkérőként nevesített települési önkormányzatok</w:t>
            </w:r>
            <w:r w:rsidRPr="00E6118F">
              <w:rPr>
                <w:rFonts w:eastAsia="MyriadPro-Semibold"/>
                <w:color w:val="0000CC"/>
                <w:lang w:eastAsia="hu-HU"/>
              </w:rPr>
              <w:t xml:space="preserve"> által biztosított saját forrásból történik.</w:t>
            </w:r>
          </w:p>
          <w:p w:rsidR="006430AC" w:rsidRPr="00E6118F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 w:rsidRPr="00E6118F">
              <w:rPr>
                <w:rFonts w:eastAsia="MyriadPro-Semibold"/>
                <w:color w:val="0000CC"/>
                <w:lang w:eastAsia="hu-HU"/>
              </w:rPr>
              <w:t>Az ellenszolgáltatás teljesítésére a Kbt. 130. § (1) és (5)-(6) bekezdése, valamint a Ptk. 6:130.§ (1)-(2) bekezdés irányadó, figyelemmel az adózás rendjéről szóló 2003. évi XCII. törvény 36/A.§-ban foglaltakra.</w:t>
            </w:r>
          </w:p>
          <w:p w:rsidR="006430AC" w:rsidRPr="00E6118F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 w:rsidRPr="00E6118F">
              <w:rPr>
                <w:rFonts w:eastAsia="MyriadPro-Semibold"/>
                <w:color w:val="0000CC"/>
                <w:lang w:eastAsia="hu-HU"/>
              </w:rPr>
              <w:t xml:space="preserve">A központi háziorvosi ügyelet ellátásának díjához Ajánlattevő 2019. december 31-ig kötve van azzal, az OEP-finanszírozás változását figyelembe véve, az </w:t>
            </w:r>
            <w:r>
              <w:rPr>
                <w:rFonts w:eastAsia="MyriadPro-Semibold"/>
                <w:color w:val="FF0000"/>
                <w:lang w:eastAsia="hu-HU"/>
              </w:rPr>
              <w:t>Ajánlatkérőként nevesített települési önkormányzatok</w:t>
            </w:r>
            <w:r w:rsidRPr="00E6118F">
              <w:rPr>
                <w:rFonts w:eastAsia="MyriadPro-Semibold"/>
                <w:color w:val="0000CC"/>
                <w:lang w:eastAsia="hu-HU"/>
              </w:rPr>
              <w:t xml:space="preserve"> a nyertes ajánlati ár és az OEP finanszírozás közötti különbség mindenkori összegét fizetik ki Ajánlattevő részére. </w:t>
            </w:r>
          </w:p>
          <w:p w:rsidR="006430AC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 w:rsidRPr="00E6118F">
              <w:rPr>
                <w:rFonts w:eastAsia="MyriadPro-Semibold"/>
                <w:color w:val="0000CC"/>
                <w:lang w:eastAsia="hu-HU"/>
              </w:rPr>
              <w:t>Késedelmes fizetés esetén Ajánlatkérő a Ptk-ban meghatározott (6:155. §) mértékű, és</w:t>
            </w:r>
            <w:r>
              <w:rPr>
                <w:rFonts w:eastAsia="MyriadPro-Semibold"/>
                <w:color w:val="0000CC"/>
                <w:lang w:eastAsia="hu-HU"/>
              </w:rPr>
              <w:t xml:space="preserve"> a késedelem időtartamához igazodó késedelmi kamatot fizet.</w:t>
            </w:r>
          </w:p>
          <w:p w:rsidR="006430AC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>
              <w:rPr>
                <w:rFonts w:eastAsia="MyriadPro-Semibold"/>
                <w:color w:val="0000CC"/>
                <w:lang w:eastAsia="hu-HU"/>
              </w:rPr>
              <w:t>Vonatkozó jogszabályok különösen:</w:t>
            </w:r>
          </w:p>
          <w:p w:rsidR="006430AC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>
              <w:rPr>
                <w:rFonts w:eastAsia="MyriadPro-Semibold"/>
                <w:color w:val="0000CC"/>
                <w:lang w:eastAsia="hu-HU"/>
              </w:rPr>
              <w:t>- Az adózás rendjéről szóló 2003. évi XCII. törvény 36/A. §,</w:t>
            </w:r>
          </w:p>
          <w:p w:rsidR="006430AC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>
              <w:rPr>
                <w:rFonts w:eastAsia="MyriadPro-Semibold"/>
                <w:color w:val="0000CC"/>
                <w:lang w:eastAsia="hu-HU"/>
              </w:rPr>
              <w:t>- A Közbeszerzésekről szóló 2015. évi CXLIII. törvény,</w:t>
            </w:r>
          </w:p>
          <w:p w:rsidR="006430AC" w:rsidRDefault="006430AC" w:rsidP="00F92025">
            <w:pPr>
              <w:rPr>
                <w:rFonts w:eastAsia="MyriadPro-Semibold"/>
                <w:color w:val="0000CC"/>
                <w:lang w:eastAsia="hu-HU"/>
              </w:rPr>
            </w:pPr>
            <w:r>
              <w:rPr>
                <w:rFonts w:eastAsia="MyriadPro-Semibold"/>
                <w:color w:val="0000CC"/>
                <w:lang w:eastAsia="hu-HU"/>
              </w:rPr>
              <w:t>- Az általános forgalmi adóról szóló 2007. évi CXXVII. törvény,</w:t>
            </w:r>
          </w:p>
          <w:p w:rsidR="006430AC" w:rsidRPr="00F31610" w:rsidRDefault="006430AC" w:rsidP="00F92025">
            <w:pPr>
              <w:rPr>
                <w:lang w:eastAsia="hu-HU"/>
              </w:rPr>
            </w:pPr>
            <w:r>
              <w:rPr>
                <w:rFonts w:eastAsia="MyriadPro-Semibold"/>
                <w:color w:val="0000CC"/>
                <w:lang w:eastAsia="hu-HU"/>
              </w:rPr>
              <w:t>- A Polgári Törvénykönyvről szóló 2013. évi V. törvény.</w:t>
            </w:r>
          </w:p>
        </w:tc>
      </w:tr>
      <w:tr w:rsidR="006430AC" w:rsidRPr="00F31610">
        <w:tc>
          <w:tcPr>
            <w:tcW w:w="9795" w:type="dxa"/>
            <w:gridSpan w:val="2"/>
          </w:tcPr>
          <w:p w:rsidR="006430AC" w:rsidRDefault="006430AC" w:rsidP="0042537D">
            <w:pPr>
              <w:spacing w:before="120" w:after="120"/>
              <w:jc w:val="left"/>
              <w:rPr>
                <w:sz w:val="18"/>
                <w:szCs w:val="18"/>
                <w:vertAlign w:val="superscript"/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 xml:space="preserve">III.1.8) A nyertes közös ajánlattevők által létrehozandó gazdálkodó szervezet: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CB7493" w:rsidRDefault="006430AC" w:rsidP="00CB7493">
            <w:pPr>
              <w:autoSpaceDE w:val="0"/>
              <w:autoSpaceDN w:val="0"/>
              <w:adjustRightInd w:val="0"/>
              <w:rPr>
                <w:rFonts w:eastAsia="MyriadPro-Semibold"/>
                <w:lang w:eastAsia="hu-HU"/>
              </w:rPr>
            </w:pPr>
            <w:r w:rsidRPr="00CB7493">
              <w:rPr>
                <w:rFonts w:eastAsia="MyriadPro-Semibold"/>
                <w:color w:val="0000CC"/>
                <w:lang w:eastAsia="hu-HU"/>
              </w:rPr>
              <w:t>Ajánlatkérő a Kbt. 35.§ (8) bekezdése alapján előírja, hogy a szerződés teljesítése érdekében gazdálkodó szervezet/projekttársaság létrehozására nincs lehetőség. Közös ajánlattétel esetén a Kbt. 35.§-a szerint a vezető céget meg kell jelölni és a közös ajánlattevőknek konzorciumi megállapodást kell kötniük és az ajánlatban csatolni kell azt.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 xml:space="preserve">III.2) A szerződéssel kapcsolatos feltételek </w:t>
      </w:r>
      <w:r w:rsidRPr="00F31610">
        <w:rPr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</w:tblGrid>
      <w:tr w:rsidR="006430AC" w:rsidRPr="00F31610">
        <w:tc>
          <w:tcPr>
            <w:tcW w:w="0" w:type="auto"/>
          </w:tcPr>
          <w:p w:rsidR="006430AC" w:rsidRPr="00364844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364844">
              <w:rPr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364844">
              <w:rPr>
                <w:sz w:val="18"/>
                <w:szCs w:val="18"/>
                <w:lang w:eastAsia="hu-HU"/>
              </w:rPr>
              <w:t xml:space="preserve"> </w:t>
            </w:r>
            <w:r w:rsidRPr="00364844">
              <w:rPr>
                <w:i/>
                <w:iCs/>
                <w:sz w:val="18"/>
                <w:szCs w:val="18"/>
                <w:lang w:eastAsia="hu-HU"/>
              </w:rPr>
              <w:t>(csak szolgáltatás megrendelés esetében)</w:t>
            </w:r>
          </w:p>
          <w:p w:rsidR="006430AC" w:rsidRPr="00364844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X</w:t>
            </w:r>
            <w:r w:rsidRPr="00364844">
              <w:rPr>
                <w:lang w:eastAsia="hu-HU"/>
              </w:rPr>
              <w:t xml:space="preserve"> </w:t>
            </w:r>
            <w:r w:rsidRPr="00364844">
              <w:rPr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6430AC" w:rsidRPr="00364844" w:rsidRDefault="006430AC" w:rsidP="0042537D">
            <w:pPr>
              <w:spacing w:before="120" w:after="120"/>
              <w:ind w:left="380"/>
              <w:jc w:val="left"/>
              <w:rPr>
                <w:sz w:val="18"/>
                <w:szCs w:val="18"/>
                <w:lang w:eastAsia="hu-HU"/>
              </w:rPr>
            </w:pPr>
            <w:r w:rsidRPr="00364844">
              <w:rPr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Az orvosi ügyeletre vonatkozó törvények, kormányrendeletek és miniszteri rendeletek előírásainak betartása.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A tevékenység ellátására vonatkozó főbb jogszabályok: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 xml:space="preserve">- 1997. évi LXXXIII. törvény a kötelező egészségbiztosítás ellátásairól 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- 1997. évi CLIV. törvény az egészségügyről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- 2000. évi II. törvény az önálló orvosi tevékenységről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- 2003. évi LXXXIV. törvény az egészségügyi tevékenység végzésének egyes kérdéseiről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- 2006. évi CXXXII. törvény az egészségügyi ellátórendszer fejlesztéséről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- 43/1999. (III. 3.) Korm. rendelet az egészségügyi szolgáltatások Egészségbiztosítási Alapból történő finanszírozásának részletes szabályairól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- 96/2003. (VII. 15.) Korm. rendelet az egészségügyi szolgáltatás gyakorlásának általános feltételeiről, valamint a működési engedélyezési eljárásról</w:t>
            </w:r>
          </w:p>
          <w:p w:rsidR="006430AC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 xml:space="preserve">- 4/2000. (II. 25.) EüM rendelet a háziorvosi, házi gyermekorvosi és fogorvosi tevékenységről 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- 60/2003. (X. 20.) ESZCSM rendelet az egészségügyi szolgáltatások nyújtásához szükséges szakmai minimumfeltételekről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- 47/2004. (V. 11.) ESZCSM rendelet az egészségügyi ellátás folyamatos működtetésének egyes szervezési kérdéseiről</w:t>
            </w:r>
          </w:p>
          <w:p w:rsidR="006430AC" w:rsidRPr="00364844" w:rsidRDefault="006430AC" w:rsidP="00AE0719">
            <w:pPr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364844">
              <w:rPr>
                <w:rFonts w:eastAsia="MyriadPro-Semibold"/>
                <w:color w:val="0000CC"/>
                <w:lang w:eastAsia="hu-HU"/>
              </w:rPr>
              <w:t>- 18/2007. (IV. 17.) EüM rendelet az egészségügyi szakképesítéssel rendelkező személyek alap- és működési nyilvántartásáról, valamint a működési nyilvántartásban nem szereplő személyek tevékenységének engedélyezéséről</w:t>
            </w:r>
          </w:p>
          <w:p w:rsidR="006430AC" w:rsidRPr="00F625CF" w:rsidRDefault="006430AC" w:rsidP="00AE0719">
            <w:pPr>
              <w:pStyle w:val="ListParagraph"/>
              <w:ind w:left="6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 xml:space="preserve">- 4/2009. (III. 17.) EüM. r. Az Orvostechnikai eszközökről </w:t>
            </w:r>
          </w:p>
          <w:p w:rsidR="006430AC" w:rsidRPr="00F625CF" w:rsidRDefault="006430AC" w:rsidP="00937258">
            <w:pPr>
              <w:pStyle w:val="ListParagraph"/>
              <w:ind w:left="65"/>
              <w:rPr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-2011. évi CLXXXIX. törvény Magyarország helyi önkormányzatairól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92025">
              <w:rPr>
                <w:b/>
                <w:bCs/>
                <w:sz w:val="18"/>
                <w:szCs w:val="18"/>
                <w:lang w:eastAsia="hu-HU"/>
              </w:rPr>
              <w:t>III.2.2) A szerződés teljesítésével kapcsolatos feltételek: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III.2.3) A szerződés teljesítésében közreműködő személyekkel kapcsolatos információ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sz w:val="28"/>
          <w:szCs w:val="28"/>
          <w:lang w:eastAsia="hu-HU"/>
        </w:rPr>
        <w:t>IV. szakasz: Eljárás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>IV.1) Meghatározás</w:t>
      </w: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71"/>
        <w:gridCol w:w="5024"/>
      </w:tblGrid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</w:tc>
      </w:tr>
      <w:tr w:rsidR="006430AC" w:rsidRPr="00F31610">
        <w:tc>
          <w:tcPr>
            <w:tcW w:w="4758" w:type="dxa"/>
          </w:tcPr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i/>
                <w:iCs/>
                <w:sz w:val="18"/>
                <w:szCs w:val="18"/>
                <w:lang w:eastAsia="hu-HU"/>
              </w:rPr>
              <w:t>(klasszikus ajánlatkérők esetében)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eastAsia="MyriadPro-Semibold"/>
                <w:color w:val="0000CC"/>
                <w:lang w:eastAsia="hu-HU"/>
              </w:rPr>
              <w:t>X</w:t>
            </w:r>
            <w:r w:rsidRPr="00E75811">
              <w:rPr>
                <w:sz w:val="18"/>
                <w:szCs w:val="18"/>
                <w:lang w:eastAsia="hu-HU"/>
              </w:rPr>
              <w:t xml:space="preserve"> Nyílt eljárás</w:t>
            </w:r>
          </w:p>
          <w:p w:rsidR="006430AC" w:rsidRPr="00E75811" w:rsidRDefault="006430AC" w:rsidP="0042537D">
            <w:pPr>
              <w:spacing w:before="120" w:after="120"/>
              <w:ind w:left="180"/>
              <w:jc w:val="left"/>
              <w:rPr>
                <w:lang w:eastAsia="hu-HU"/>
              </w:rPr>
            </w:pPr>
            <w:r w:rsidRPr="00E75811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E75811">
              <w:rPr>
                <w:sz w:val="18"/>
                <w:szCs w:val="18"/>
                <w:lang w:eastAsia="hu-HU"/>
              </w:rPr>
              <w:t xml:space="preserve"> Gyorsított eljárás</w:t>
            </w:r>
          </w:p>
          <w:p w:rsidR="006430AC" w:rsidRPr="00E75811" w:rsidRDefault="006430AC" w:rsidP="0042537D">
            <w:pPr>
              <w:spacing w:before="120" w:after="120"/>
              <w:ind w:left="560"/>
              <w:jc w:val="left"/>
              <w:rPr>
                <w:lang w:eastAsia="hu-HU"/>
              </w:rPr>
            </w:pPr>
            <w:r w:rsidRPr="00E75811">
              <w:rPr>
                <w:sz w:val="18"/>
                <w:szCs w:val="18"/>
                <w:lang w:eastAsia="hu-HU"/>
              </w:rPr>
              <w:t>Indokolás: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Meghívásos eljárás</w:t>
            </w:r>
          </w:p>
          <w:p w:rsidR="006430AC" w:rsidRPr="00E75811" w:rsidRDefault="006430AC" w:rsidP="0042537D">
            <w:pPr>
              <w:spacing w:before="120" w:after="120"/>
              <w:ind w:left="560"/>
              <w:jc w:val="left"/>
              <w:rPr>
                <w:lang w:eastAsia="hu-HU"/>
              </w:rPr>
            </w:pPr>
            <w:r w:rsidRPr="00E75811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E75811">
              <w:rPr>
                <w:sz w:val="18"/>
                <w:szCs w:val="18"/>
                <w:lang w:eastAsia="hu-HU"/>
              </w:rPr>
              <w:t xml:space="preserve"> Gyorsított eljárás</w:t>
            </w:r>
          </w:p>
          <w:p w:rsidR="006430AC" w:rsidRPr="00E75811" w:rsidRDefault="006430AC" w:rsidP="0042537D">
            <w:pPr>
              <w:spacing w:before="120" w:after="120"/>
              <w:ind w:left="560"/>
              <w:jc w:val="left"/>
              <w:rPr>
                <w:lang w:eastAsia="hu-HU"/>
              </w:rPr>
            </w:pPr>
            <w:r w:rsidRPr="00E75811">
              <w:rPr>
                <w:sz w:val="18"/>
                <w:szCs w:val="18"/>
                <w:lang w:eastAsia="hu-HU"/>
              </w:rPr>
              <w:t>Indokolás: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Tárgyalásos eljárás</w:t>
            </w:r>
          </w:p>
          <w:p w:rsidR="006430AC" w:rsidRPr="00E75811" w:rsidRDefault="006430AC" w:rsidP="0042537D">
            <w:pPr>
              <w:spacing w:before="120" w:after="120"/>
              <w:ind w:left="180"/>
              <w:jc w:val="left"/>
              <w:rPr>
                <w:lang w:eastAsia="hu-HU"/>
              </w:rPr>
            </w:pPr>
            <w:r w:rsidRPr="00E75811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E75811">
              <w:rPr>
                <w:sz w:val="18"/>
                <w:szCs w:val="18"/>
                <w:lang w:eastAsia="hu-HU"/>
              </w:rPr>
              <w:t xml:space="preserve"> Gyorsított eljárás</w:t>
            </w:r>
          </w:p>
          <w:p w:rsidR="006430AC" w:rsidRPr="00E75811" w:rsidRDefault="006430AC" w:rsidP="0042537D">
            <w:pPr>
              <w:spacing w:before="120" w:after="120"/>
              <w:ind w:left="560"/>
              <w:jc w:val="left"/>
              <w:rPr>
                <w:lang w:eastAsia="hu-HU"/>
              </w:rPr>
            </w:pPr>
            <w:r w:rsidRPr="00E75811">
              <w:rPr>
                <w:sz w:val="18"/>
                <w:szCs w:val="18"/>
                <w:lang w:eastAsia="hu-HU"/>
              </w:rPr>
              <w:t>Indokolás: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Versenypárbeszéd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Innovációs partnerség</w:t>
            </w:r>
          </w:p>
        </w:tc>
        <w:tc>
          <w:tcPr>
            <w:tcW w:w="5037" w:type="dxa"/>
          </w:tcPr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Nyílt eljárás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Meghívásos eljárás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Tárgyalásos eljárás</w:t>
            </w:r>
          </w:p>
          <w:p w:rsidR="006430AC" w:rsidRPr="00E75811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Versenypárbeszéd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E75811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E75811">
              <w:rPr>
                <w:sz w:val="18"/>
                <w:szCs w:val="18"/>
                <w:lang w:eastAsia="hu-HU"/>
              </w:rPr>
              <w:t xml:space="preserve"> Innovációs partnerség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IV.1.2) Keretmegállapodásra vagy dinamikus beszerzési rendszerre vonatkozó információk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6430AC" w:rsidRPr="00F31610" w:rsidRDefault="006430AC" w:rsidP="0042537D">
            <w:pPr>
              <w:spacing w:before="120" w:after="120"/>
              <w:ind w:left="380"/>
              <w:jc w:val="left"/>
              <w:rPr>
                <w:lang w:eastAsia="hu-HU"/>
              </w:rPr>
            </w:pP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Keretmegállapodás egy ajánlattevővel</w:t>
            </w:r>
          </w:p>
          <w:p w:rsidR="006430AC" w:rsidRPr="00F31610" w:rsidRDefault="006430AC" w:rsidP="0042537D">
            <w:pPr>
              <w:spacing w:before="120" w:after="120"/>
              <w:ind w:left="380"/>
              <w:jc w:val="left"/>
              <w:rPr>
                <w:lang w:eastAsia="hu-HU"/>
              </w:rPr>
            </w:pP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Keretmegállapodás több ajánlattevővel</w:t>
            </w:r>
          </w:p>
          <w:p w:rsidR="006430AC" w:rsidRPr="00F31610" w:rsidRDefault="006430AC" w:rsidP="0042537D">
            <w:pPr>
              <w:spacing w:before="120" w:after="120"/>
              <w:ind w:left="38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sz w:val="18"/>
                <w:szCs w:val="18"/>
                <w:lang w:eastAsia="hu-HU"/>
              </w:rPr>
              <w:t xml:space="preserve"> [ ]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6430AC" w:rsidRPr="00F31610" w:rsidRDefault="006430AC" w:rsidP="0042537D">
            <w:pPr>
              <w:spacing w:before="120" w:after="120"/>
              <w:ind w:left="38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Keretmegállapodások esetén – klasszikus ajánlatkérők esetében a négy évet meghaladó időtartam indokolása: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Keretmegállapodások esetén – közszolgáltató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IV.1.3) A megoldások, illetve ajánlatok számának a tárgyalásos eljárás vagy a versenypárbeszéd során történő csökkentesére irányuló információ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Több fordulóban lebonyolítandó tárgyalások igénybe vétele annak érdekében, hogy fokozatosan csökkentsék a megvitatandó megoldások, illetve a megtárgyalandó ajánlatok számát.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IV.1.4) Információ a tárgyalásról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(klasszikus ajánlatkérők esetében; kizárólag tárgyalásos eljárás esetében)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Ajánlatkérő fenntartja a jogot arra, hogy a szerződést az eredeti ajánlat alapján, tárgyalások lefolytatása nélkül ítélje oda.</w:t>
            </w:r>
          </w:p>
        </w:tc>
      </w:tr>
      <w:tr w:rsidR="006430AC" w:rsidRPr="00F31610">
        <w:tc>
          <w:tcPr>
            <w:tcW w:w="0" w:type="auto"/>
            <w:gridSpan w:val="2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 xml:space="preserve">IV.1.5) Elektronikus árlejtésre vonatkozó információk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>IV.2) Adminisztratív információk</w:t>
      </w: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</w:tblGrid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sz w:val="18"/>
                <w:szCs w:val="18"/>
                <w:lang w:eastAsia="hu-HU"/>
              </w:rPr>
              <w:t xml:space="preserve"> [ ][ ][ ][ ][ ]/[ ][ ][ ][ ]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(KÉ-szám/évszám)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IV.2.2) Ajánlattételi vagy részvételi határidő</w:t>
            </w:r>
          </w:p>
          <w:p w:rsidR="006430AC" w:rsidRPr="00F31610" w:rsidRDefault="006430AC" w:rsidP="00B87413">
            <w:pPr>
              <w:spacing w:before="120" w:after="120"/>
              <w:jc w:val="left"/>
              <w:rPr>
                <w:lang w:eastAsia="hu-HU"/>
              </w:rPr>
            </w:pPr>
            <w:r w:rsidRPr="00B87413">
              <w:rPr>
                <w:sz w:val="18"/>
                <w:szCs w:val="18"/>
                <w:lang w:eastAsia="hu-HU"/>
              </w:rPr>
              <w:t xml:space="preserve">Dátum: </w:t>
            </w:r>
            <w:r w:rsidRPr="00B87413">
              <w:rPr>
                <w:rFonts w:eastAsia="MyriadPro-Semibold"/>
                <w:color w:val="FF0000"/>
                <w:lang w:eastAsia="hu-HU"/>
              </w:rPr>
              <w:t>2016/12/12</w:t>
            </w:r>
            <w:r w:rsidRPr="00B87413">
              <w:rPr>
                <w:i/>
                <w:iCs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B87413">
              <w:rPr>
                <w:color w:val="FF0000"/>
                <w:sz w:val="18"/>
                <w:szCs w:val="18"/>
                <w:lang w:eastAsia="hu-HU"/>
              </w:rPr>
              <w:t xml:space="preserve">Helyi idő: </w:t>
            </w:r>
            <w:r w:rsidRPr="00B87413">
              <w:rPr>
                <w:rFonts w:eastAsia="MyriadPro-Semibold"/>
                <w:color w:val="FF0000"/>
                <w:lang w:eastAsia="hu-HU"/>
              </w:rPr>
              <w:t>10:00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tervezett napja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 xml:space="preserve"> 4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(részvételi felhívás esetében)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(éééé/hh/nn)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C04ABB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 xml:space="preserve">IV.2.4) Azok a nyelvek, amelyeken az ajánlatok vagy részvételi jelentkezések benyújthatók: </w:t>
            </w:r>
            <w:r w:rsidRPr="00C04ABB">
              <w:rPr>
                <w:rFonts w:eastAsia="MyriadPro-Semibold"/>
                <w:color w:val="0000CC"/>
                <w:lang w:eastAsia="hu-HU"/>
              </w:rPr>
              <w:t xml:space="preserve">HU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IV.2.5) Az ajánlati kötöttség minimális időtartama: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Az ajánlati kötöttség végső dátuma: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(éééé/hh/nn)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vagy</w:t>
            </w:r>
          </w:p>
          <w:p w:rsidR="006430AC" w:rsidRPr="00F31610" w:rsidRDefault="006430AC" w:rsidP="00C04ABB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Az időtartam hónapban: [ ] vagy napban: </w:t>
            </w:r>
            <w:r w:rsidRPr="00C04ABB">
              <w:rPr>
                <w:rFonts w:eastAsia="MyriadPro-Semibold"/>
                <w:color w:val="0000CC"/>
                <w:lang w:eastAsia="hu-HU"/>
              </w:rPr>
              <w:t>30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i/>
                <w:iCs/>
                <w:sz w:val="18"/>
                <w:szCs w:val="18"/>
                <w:lang w:eastAsia="hu-HU"/>
              </w:rPr>
              <w:t>(az ajánlattételi határidő lejártától számítva)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IV.2.6) Az ajánlatok vagy részvételi jelentkezések felbontásának feltételei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D</w:t>
            </w:r>
            <w:r>
              <w:rPr>
                <w:sz w:val="18"/>
                <w:szCs w:val="18"/>
                <w:lang w:eastAsia="hu-HU"/>
              </w:rPr>
              <w:t>á</w:t>
            </w:r>
            <w:r w:rsidRPr="00F31610">
              <w:rPr>
                <w:sz w:val="18"/>
                <w:szCs w:val="18"/>
                <w:lang w:eastAsia="hu-HU"/>
              </w:rPr>
              <w:t>tum</w:t>
            </w:r>
            <w:r w:rsidRPr="00B87413">
              <w:rPr>
                <w:sz w:val="18"/>
                <w:szCs w:val="18"/>
                <w:lang w:eastAsia="hu-HU"/>
              </w:rPr>
              <w:t xml:space="preserve">: </w:t>
            </w:r>
            <w:r w:rsidRPr="00B87413">
              <w:rPr>
                <w:rFonts w:eastAsia="MyriadPro-Semibold"/>
                <w:color w:val="FF0000"/>
                <w:lang w:eastAsia="hu-HU"/>
              </w:rPr>
              <w:t>2016/12/12</w:t>
            </w:r>
            <w:r w:rsidRPr="00B87413">
              <w:rPr>
                <w:i/>
                <w:iCs/>
                <w:color w:val="FF0000"/>
                <w:sz w:val="18"/>
                <w:szCs w:val="18"/>
                <w:lang w:eastAsia="hu-HU"/>
              </w:rPr>
              <w:t xml:space="preserve">  </w:t>
            </w:r>
            <w:r w:rsidRPr="00B87413">
              <w:rPr>
                <w:color w:val="FF0000"/>
                <w:sz w:val="18"/>
                <w:szCs w:val="18"/>
                <w:lang w:eastAsia="hu-HU"/>
              </w:rPr>
              <w:t xml:space="preserve">Helyi idő: </w:t>
            </w:r>
            <w:r w:rsidRPr="00B87413">
              <w:rPr>
                <w:rFonts w:eastAsia="MyriadPro-Semibold"/>
                <w:color w:val="FF0000"/>
                <w:lang w:eastAsia="hu-HU"/>
              </w:rPr>
              <w:t>10:00</w:t>
            </w:r>
            <w:r w:rsidRPr="00B87413">
              <w:rPr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B87413">
              <w:rPr>
                <w:sz w:val="18"/>
                <w:szCs w:val="18"/>
                <w:lang w:eastAsia="hu-HU"/>
              </w:rPr>
              <w:t xml:space="preserve">Hely: </w:t>
            </w:r>
            <w:r w:rsidRPr="00B87413">
              <w:rPr>
                <w:rFonts w:eastAsia="MyriadPro-Semibold"/>
                <w:color w:val="0000CC"/>
                <w:lang w:eastAsia="hu-HU"/>
              </w:rPr>
              <w:t>8200</w:t>
            </w:r>
            <w:r w:rsidRPr="00E16751">
              <w:rPr>
                <w:rFonts w:eastAsia="MyriadPro-Semibold"/>
                <w:color w:val="0000CC"/>
                <w:lang w:eastAsia="hu-HU"/>
              </w:rPr>
              <w:t xml:space="preserve"> Veszprém, Radnóti tér 2/A., I. emelet 201. tárgyaló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Információk a jogosultakról és a bontási eljárásról:</w:t>
            </w:r>
            <w:r>
              <w:rPr>
                <w:sz w:val="18"/>
                <w:szCs w:val="18"/>
                <w:lang w:eastAsia="hu-HU"/>
              </w:rPr>
              <w:t xml:space="preserve"> </w:t>
            </w:r>
            <w:r w:rsidRPr="00E16751">
              <w:rPr>
                <w:rFonts w:eastAsia="MyriadPro-Semibold"/>
                <w:color w:val="0000CC"/>
                <w:lang w:eastAsia="hu-HU"/>
              </w:rPr>
              <w:t>A bontási eljárással kapcsolatban ajánlatkérő felhívja a figyelmet a Kbt. 68.§-ában foglaltakra.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sz w:val="28"/>
          <w:szCs w:val="28"/>
          <w:lang w:eastAsia="hu-HU"/>
        </w:rPr>
        <w:t>VI. szakasz: Kiegészítő információk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>VI.1) A közbeszerzés ismétlődő jellegére vonatkozó információk</w:t>
      </w:r>
      <w:r w:rsidRPr="00F31610">
        <w:rPr>
          <w:lang w:eastAsia="hu-HU"/>
        </w:rPr>
        <w:t xml:space="preserve"> </w:t>
      </w:r>
      <w:r w:rsidRPr="00F31610">
        <w:rPr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</w:tblGrid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 közbeszerzés ismétlődő jellegű </w:t>
            </w: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igen </w:t>
            </w:r>
            <w:r>
              <w:rPr>
                <w:rFonts w:eastAsia="MyriadPro-Semibold"/>
                <w:color w:val="0000CC"/>
                <w:lang w:eastAsia="hu-HU"/>
              </w:rPr>
              <w:t xml:space="preserve">X </w:t>
            </w:r>
            <w:r w:rsidRPr="00F31610">
              <w:rPr>
                <w:sz w:val="18"/>
                <w:szCs w:val="18"/>
                <w:lang w:eastAsia="hu-HU"/>
              </w:rPr>
              <w:t xml:space="preserve"> nem</w:t>
            </w:r>
          </w:p>
          <w:p w:rsidR="006430AC" w:rsidRPr="00F92025" w:rsidRDefault="006430AC" w:rsidP="00F92025">
            <w:pPr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color w:val="FF0000"/>
                <w:sz w:val="40"/>
                <w:szCs w:val="40"/>
                <w:highlight w:val="green"/>
                <w:vertAlign w:val="superscript"/>
                <w:lang w:eastAsia="hu-HU"/>
              </w:rPr>
              <w:t xml:space="preserve"> 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>VI.2) Információ az elektronikus munkafolyamatokról</w:t>
      </w: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</w:tblGrid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 xml:space="preserve">VI.3) További információk: </w:t>
      </w:r>
      <w:r w:rsidRPr="00F31610">
        <w:rPr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</w:tblGrid>
      <w:tr w:rsidR="006430AC" w:rsidRPr="00EB66DC">
        <w:tc>
          <w:tcPr>
            <w:tcW w:w="0" w:type="auto"/>
          </w:tcPr>
          <w:p w:rsidR="006430AC" w:rsidRPr="00F55A8D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55A8D">
              <w:rPr>
                <w:b/>
                <w:bCs/>
                <w:sz w:val="18"/>
                <w:szCs w:val="18"/>
                <w:lang w:eastAsia="hu-HU"/>
              </w:rPr>
              <w:t>VI.3.1) Feltételes közbeszerzés</w:t>
            </w:r>
          </w:p>
          <w:p w:rsidR="006430AC" w:rsidRPr="00F55A8D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55A8D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55A8D">
              <w:rPr>
                <w:sz w:val="18"/>
                <w:szCs w:val="18"/>
                <w:lang w:eastAsia="hu-HU"/>
              </w:rPr>
              <w:t xml:space="preserve"> Ajánlatkérő felhívja a gazdasági szereplők figyelmét, hogy az eljárást eredménytelenné nyilváníthatja, ha valamely meghatározott, ellenőrzési körén kívül eső, bizonytalan jövőbeli esemény az ajánlattételi, illetve részvételi határidő lejártát követően következik be.</w:t>
            </w:r>
          </w:p>
          <w:p w:rsidR="006430AC" w:rsidRPr="00F55A8D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55A8D">
              <w:rPr>
                <w:sz w:val="18"/>
                <w:szCs w:val="18"/>
                <w:lang w:eastAsia="hu-HU"/>
              </w:rPr>
              <w:t>Ajánlatkérő ellenőrzési körén kívül eső, bizonytalan jövőbeli esemény meghatározása:</w:t>
            </w:r>
          </w:p>
        </w:tc>
      </w:tr>
      <w:tr w:rsidR="006430AC" w:rsidRPr="00F31610">
        <w:tc>
          <w:tcPr>
            <w:tcW w:w="0" w:type="auto"/>
          </w:tcPr>
          <w:p w:rsidR="006430AC" w:rsidRPr="00F92025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92025">
              <w:rPr>
                <w:b/>
                <w:bCs/>
                <w:sz w:val="18"/>
                <w:szCs w:val="18"/>
                <w:lang w:eastAsia="hu-HU"/>
              </w:rPr>
              <w:t>VI.3.2) Az ajánlati biztosíték</w:t>
            </w:r>
            <w:r w:rsidRPr="00F92025">
              <w:rPr>
                <w:sz w:val="18"/>
                <w:szCs w:val="18"/>
                <w:lang w:eastAsia="hu-HU"/>
              </w:rPr>
              <w:t xml:space="preserve"> </w:t>
            </w:r>
            <w:r w:rsidRPr="00F92025">
              <w:rPr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6430AC" w:rsidRPr="00F92025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92025">
              <w:rPr>
                <w:rFonts w:eastAsia="MyriadPro-Semibold"/>
                <w:color w:val="0000CC"/>
                <w:lang w:eastAsia="hu-HU"/>
              </w:rPr>
              <w:t>X</w:t>
            </w:r>
            <w:r w:rsidRPr="00F92025">
              <w:rPr>
                <w:sz w:val="18"/>
                <w:szCs w:val="18"/>
                <w:lang w:eastAsia="hu-HU"/>
              </w:rPr>
              <w:t xml:space="preserve"> Az eljárásban való részvétel ajánlati biztosíték adásához kötött.</w:t>
            </w:r>
          </w:p>
          <w:p w:rsidR="006430AC" w:rsidRPr="00F92025" w:rsidRDefault="006430AC" w:rsidP="0042537D">
            <w:pPr>
              <w:spacing w:before="120" w:after="120"/>
              <w:ind w:left="380"/>
              <w:jc w:val="left"/>
              <w:rPr>
                <w:lang w:eastAsia="hu-HU"/>
              </w:rPr>
            </w:pPr>
            <w:r w:rsidRPr="00F92025">
              <w:rPr>
                <w:sz w:val="18"/>
                <w:szCs w:val="18"/>
                <w:lang w:eastAsia="hu-HU"/>
              </w:rPr>
              <w:t xml:space="preserve">Az ajánlati biztosíték mértéke: </w:t>
            </w:r>
            <w:r w:rsidRPr="00F92025">
              <w:rPr>
                <w:rFonts w:eastAsia="MyriadPro-Semibold"/>
                <w:color w:val="0000CC"/>
                <w:lang w:eastAsia="hu-HU"/>
              </w:rPr>
              <w:t>2.000.000,-Ft</w:t>
            </w:r>
          </w:p>
          <w:p w:rsidR="006430AC" w:rsidRPr="00F92025" w:rsidRDefault="006430AC" w:rsidP="0042537D">
            <w:pPr>
              <w:spacing w:before="120" w:after="120"/>
              <w:ind w:left="380"/>
              <w:jc w:val="left"/>
              <w:rPr>
                <w:lang w:eastAsia="hu-HU"/>
              </w:rPr>
            </w:pPr>
            <w:r w:rsidRPr="00F92025">
              <w:rPr>
                <w:sz w:val="18"/>
                <w:szCs w:val="18"/>
                <w:lang w:eastAsia="hu-HU"/>
              </w:rPr>
              <w:t>A befizetés helye: vagy az ajánlatkérő fizetési számlaszáma:</w:t>
            </w:r>
          </w:p>
          <w:p w:rsidR="006430AC" w:rsidRDefault="006430AC" w:rsidP="00E6118F">
            <w:pPr>
              <w:rPr>
                <w:lang w:eastAsia="hu-HU"/>
              </w:rPr>
            </w:pPr>
            <w:r w:rsidRPr="00F92025">
              <w:rPr>
                <w:sz w:val="18"/>
                <w:szCs w:val="18"/>
                <w:lang w:eastAsia="hu-HU"/>
              </w:rPr>
              <w:t xml:space="preserve">Az ajánlati biztosíték befizetése (teljesítése) igazolásának módja: </w:t>
            </w:r>
            <w:r w:rsidRPr="00F92025">
              <w:rPr>
                <w:rFonts w:eastAsia="MyriadPro-Semibold"/>
                <w:color w:val="0000CC"/>
                <w:lang w:eastAsia="hu-HU"/>
              </w:rPr>
              <w:t>Az</w:t>
            </w:r>
            <w:r w:rsidRPr="00A253CE">
              <w:rPr>
                <w:rFonts w:eastAsia="MyriadPro-Semibold"/>
                <w:color w:val="0000CC"/>
                <w:lang w:eastAsia="hu-HU"/>
              </w:rPr>
              <w:t xml:space="preserve"> ajánlati biztosíték nyújtása történhet utalással, bankgaranciával, vagy biztosítási szerződés alapján kiállított készfizető kezességvállalást tartalmazó kötelezvénnyel</w:t>
            </w:r>
            <w:r w:rsidRPr="009C60AE">
              <w:rPr>
                <w:rFonts w:eastAsia="MyriadPro-Semibold"/>
                <w:color w:val="0000CC"/>
                <w:lang w:eastAsia="hu-HU"/>
              </w:rPr>
              <w:t xml:space="preserve">. Az ajánlati biztosíték utalással történő nyújtása esetén a biztosíték összegét Zirci Járás Önkormányzati Társulás B3 Takarék Szövetkezetnél vezetett 73900030-11062873-00000000 számla számlájára kell utalni. Az ajánlati </w:t>
            </w:r>
            <w:r w:rsidRPr="00A253CE">
              <w:rPr>
                <w:rFonts w:eastAsia="MyriadPro-Semibold"/>
                <w:color w:val="0000CC"/>
                <w:lang w:eastAsia="hu-HU"/>
              </w:rPr>
              <w:t>biztosíték utalása esetén a banki terhelési értesítőt kell az ajánlathoz csatolni. Utalás esetén közleményként fel kell tüntetni: „</w:t>
            </w:r>
            <w:r>
              <w:rPr>
                <w:rFonts w:eastAsia="MyriadPro-Semibold"/>
                <w:color w:val="0000CC"/>
                <w:lang w:eastAsia="hu-HU"/>
              </w:rPr>
              <w:t xml:space="preserve">Zirci Járás Önkormányzati Társulása területén </w:t>
            </w:r>
            <w:r w:rsidRPr="00D57B8B">
              <w:rPr>
                <w:rFonts w:eastAsia="MyriadPro-Semibold"/>
                <w:color w:val="0000CC"/>
                <w:lang w:eastAsia="hu-HU"/>
              </w:rPr>
              <w:t>központi háziorvosi</w:t>
            </w:r>
            <w:r>
              <w:rPr>
                <w:rFonts w:eastAsia="MyriadPro-Semibold"/>
                <w:color w:val="0000CC"/>
                <w:lang w:eastAsia="hu-HU"/>
              </w:rPr>
              <w:t xml:space="preserve"> ügyeleti feladatok ellátása a </w:t>
            </w:r>
            <w:r w:rsidRPr="00A05A3C">
              <w:rPr>
                <w:rFonts w:eastAsia="MyriadPro-Semibold"/>
                <w:color w:val="FF0000"/>
                <w:lang w:eastAsia="hu-HU"/>
              </w:rPr>
              <w:t>2017. március 1. és 2019. december</w:t>
            </w:r>
            <w:r>
              <w:rPr>
                <w:rFonts w:eastAsia="MyriadPro-Semibold"/>
                <w:color w:val="FF0000"/>
                <w:lang w:eastAsia="hu-HU"/>
              </w:rPr>
              <w:t xml:space="preserve"> </w:t>
            </w:r>
            <w:r w:rsidRPr="00A05A3C">
              <w:rPr>
                <w:rFonts w:eastAsia="MyriadPro-Semibold"/>
                <w:color w:val="FF0000"/>
                <w:lang w:eastAsia="hu-HU"/>
              </w:rPr>
              <w:t>31. közötti</w:t>
            </w:r>
            <w:r>
              <w:rPr>
                <w:rFonts w:eastAsia="MyriadPro-Semibold"/>
                <w:color w:val="0000CC"/>
                <w:lang w:eastAsia="hu-HU"/>
              </w:rPr>
              <w:t xml:space="preserve"> időszakban</w:t>
            </w:r>
            <w:r w:rsidRPr="00A253CE">
              <w:rPr>
                <w:rFonts w:eastAsia="MyriadPro-Semibold"/>
                <w:color w:val="0000CC"/>
                <w:lang w:eastAsia="hu-HU"/>
              </w:rPr>
              <w:t xml:space="preserve">”. Bankgarancia/kötelezvény nyújtása esetén a bankgarancia/kötelezvény levél egy másolati példányát az ajánlatba befűzve (oldalszámozással ellátva) kell szerepeltetni. Az eredeti bankgarancia/kötelezvény levelet is mellékelni kell az ajánlatban, de külön csomagolva (pl. irattartó fóliába, ebben az esetben az irattartó fóliát is bele kell fűzni az ajánlatba), hogy szükség esetén a bankgarancia/kötelezvény levél sérülésmentesen kivehető legyen. Kedvezményezettként </w:t>
            </w:r>
            <w:r w:rsidRPr="00DE2573">
              <w:rPr>
                <w:rFonts w:eastAsia="MyriadPro-Semibold"/>
                <w:color w:val="0000CC"/>
                <w:lang w:eastAsia="hu-HU"/>
              </w:rPr>
              <w:t>Zirci Járás Önkormányzati Társulás</w:t>
            </w:r>
            <w:r w:rsidRPr="00A253CE">
              <w:rPr>
                <w:rFonts w:eastAsia="MyriadPro-Semibold"/>
                <w:color w:val="0000CC"/>
                <w:lang w:eastAsia="hu-HU"/>
              </w:rPr>
              <w:t xml:space="preserve"> szükséges megjelölni. Az ajánlati biztosíték nyújtásáról szóló igazolást az ajánlatban szükséges csatolni. Az ajánlati biztosítéknak az ajánlati kötöttség lejártáig kell érvényesnek lennie. A kért ajánlati biztosíték a nyertes vállalkozó esetében szerződéskötést követően nem válik szerződést biztosító mellékkötelezettségé. Az ajánlati biztosíték a Kbt. 54.§ (5) bekezdés a) és b) pontja alapján jár vissza az ajánlattevőknek.</w:t>
            </w:r>
          </w:p>
        </w:tc>
      </w:tr>
      <w:tr w:rsidR="006430AC" w:rsidRPr="00F31610">
        <w:tc>
          <w:tcPr>
            <w:tcW w:w="0" w:type="auto"/>
          </w:tcPr>
          <w:p w:rsidR="006430AC" w:rsidRPr="003E6A36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3E6A36">
              <w:rPr>
                <w:b/>
                <w:bCs/>
                <w:sz w:val="18"/>
                <w:szCs w:val="18"/>
                <w:lang w:eastAsia="hu-HU"/>
              </w:rPr>
              <w:t>VI.3.3) Konzultációra vonatkozó információk</w:t>
            </w:r>
          </w:p>
          <w:p w:rsidR="006430AC" w:rsidRPr="003E6A36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3E6A36">
              <w:rPr>
                <w:sz w:val="18"/>
                <w:szCs w:val="18"/>
                <w:lang w:eastAsia="hu-HU"/>
              </w:rPr>
              <w:t xml:space="preserve"> Kiegészítő tájékoztatást ajánlatkérő konzultáció formájában is megadja.</w:t>
            </w:r>
          </w:p>
          <w:p w:rsidR="006430AC" w:rsidRPr="00F31610" w:rsidRDefault="006430AC" w:rsidP="0042537D">
            <w:pPr>
              <w:spacing w:before="120" w:after="120"/>
              <w:ind w:left="380"/>
              <w:jc w:val="left"/>
              <w:rPr>
                <w:lang w:eastAsia="hu-HU"/>
              </w:rPr>
            </w:pPr>
            <w:r w:rsidRPr="003E6A36">
              <w:rPr>
                <w:sz w:val="18"/>
                <w:szCs w:val="18"/>
                <w:lang w:eastAsia="hu-HU"/>
              </w:rPr>
              <w:t xml:space="preserve">A konzultáció időpontja: </w:t>
            </w:r>
            <w:r w:rsidRPr="003E6A36">
              <w:rPr>
                <w:i/>
                <w:iCs/>
                <w:sz w:val="18"/>
                <w:szCs w:val="18"/>
                <w:lang w:eastAsia="hu-HU"/>
              </w:rPr>
              <w:t>(éééé/hh/nn)</w:t>
            </w:r>
            <w:r w:rsidRPr="003E6A36">
              <w:rPr>
                <w:sz w:val="18"/>
                <w:szCs w:val="18"/>
                <w:lang w:eastAsia="hu-HU"/>
              </w:rPr>
              <w:t xml:space="preserve"> és helye: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VI.3.4) Alvállalkozók igénybevétele</w:t>
            </w:r>
          </w:p>
          <w:p w:rsidR="006430AC" w:rsidRPr="00F31610" w:rsidRDefault="006430AC" w:rsidP="0042537D">
            <w:pPr>
              <w:spacing w:before="120" w:after="120"/>
              <w:ind w:left="380" w:hanging="380"/>
              <w:jc w:val="left"/>
              <w:rPr>
                <w:lang w:eastAsia="hu-HU"/>
              </w:rPr>
            </w:pPr>
            <w:r>
              <w:rPr>
                <w:rFonts w:eastAsia="MyriadPro-Semibold"/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Ajánlatkérő előírja, hogy az ajánlatban (részvételi jelentkezésben) meg kell jelölni a közbeszerzésnek azt (azokat) a részét (részeit), amelynek teljesítéséhez az ajánlattevő (részvételre jelentkező) alvállalkozót kíván igénybe venni, az ezen részek tekintetében igénybe venni kívánt és az ajánlat vagy a részvételi jelentkezés benyújtásakor már ismert alvállalkozókat.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VI.3.5) Hiánypótlás elrendelése korábban nem szereplő gazdasági szereplő esetében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 xml:space="preserve">Ajánlatban, vagy jelentkezésben korábban nem szereplő gazdasági szereplő hiánypótlással történő eljárásba bevonása esetében újabb hiánypótlás elrendelése </w:t>
            </w:r>
            <w:r w:rsidRPr="00F31610">
              <w:rPr>
                <w:rFonts w:ascii="Wingdings" w:hAnsi="Wingdings" w:cs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sz w:val="18"/>
                <w:szCs w:val="18"/>
                <w:lang w:eastAsia="hu-HU"/>
              </w:rPr>
              <w:t xml:space="preserve"> igen </w:t>
            </w:r>
            <w:r>
              <w:rPr>
                <w:rFonts w:eastAsia="MyriadPro-Semibold"/>
                <w:color w:val="0000CC"/>
                <w:lang w:eastAsia="hu-HU"/>
              </w:rPr>
              <w:t>X</w:t>
            </w:r>
            <w:r w:rsidRPr="00F31610">
              <w:rPr>
                <w:sz w:val="18"/>
                <w:szCs w:val="18"/>
                <w:lang w:eastAsia="hu-HU"/>
              </w:rPr>
              <w:t xml:space="preserve"> nem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A korlátozás(ok) meghatározása újabb hiánypótlás elrendelése esetében:</w:t>
            </w:r>
          </w:p>
        </w:tc>
      </w:tr>
      <w:tr w:rsidR="006430AC" w:rsidRPr="00F31610">
        <w:tc>
          <w:tcPr>
            <w:tcW w:w="0" w:type="auto"/>
          </w:tcPr>
          <w:p w:rsidR="006430AC" w:rsidRPr="00FF352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F3520">
              <w:rPr>
                <w:b/>
                <w:bCs/>
                <w:sz w:val="18"/>
                <w:szCs w:val="18"/>
                <w:lang w:eastAsia="hu-HU"/>
              </w:rPr>
              <w:t>VI.3.6) Ajánlat érvénytelenségére vonatkozó összeg ár vagy költség esetében</w:t>
            </w:r>
            <w:r w:rsidRPr="00FF3520">
              <w:rPr>
                <w:sz w:val="18"/>
                <w:szCs w:val="18"/>
                <w:lang w:eastAsia="hu-HU"/>
              </w:rPr>
              <w:t xml:space="preserve"> </w:t>
            </w:r>
            <w:r w:rsidRPr="00FF352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FF352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F3520">
              <w:rPr>
                <w:sz w:val="18"/>
                <w:szCs w:val="18"/>
                <w:lang w:eastAsia="hu-HU"/>
              </w:rPr>
              <w:t>Ajánlatkérő az alábbi értéket meghaladó árat vagy költséget tartalmazó ajánlatot a bírálat során érvénytelenné nyilvánítja</w:t>
            </w:r>
            <w:r w:rsidRPr="00FF3520">
              <w:rPr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  <w:p w:rsidR="006430AC" w:rsidRPr="00F31610" w:rsidRDefault="006430AC" w:rsidP="00BD264E">
            <w:pPr>
              <w:spacing w:before="120" w:after="120"/>
              <w:jc w:val="left"/>
              <w:rPr>
                <w:lang w:eastAsia="hu-HU"/>
              </w:rPr>
            </w:pPr>
            <w:r w:rsidRPr="00FF3520">
              <w:rPr>
                <w:sz w:val="18"/>
                <w:szCs w:val="18"/>
                <w:lang w:eastAsia="hu-HU"/>
              </w:rPr>
              <w:t xml:space="preserve">Rész száma: </w:t>
            </w:r>
            <w:r w:rsidRPr="00FF3520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FF3520"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color w:val="0000CC"/>
                <w:lang w:eastAsia="hu-HU"/>
              </w:rPr>
              <w:t>…..</w:t>
            </w:r>
            <w:r w:rsidRPr="00FF3520">
              <w:rPr>
                <w:sz w:val="18"/>
                <w:szCs w:val="18"/>
                <w:lang w:eastAsia="hu-HU"/>
              </w:rPr>
              <w:t xml:space="preserve"> Érték ÁFA nélkül: </w:t>
            </w:r>
            <w:r>
              <w:rPr>
                <w:rFonts w:eastAsia="MyriadPro-Semibold"/>
                <w:color w:val="0000CC"/>
                <w:lang w:eastAsia="hu-HU"/>
              </w:rPr>
              <w:t>…………..</w:t>
            </w:r>
            <w:r w:rsidRPr="00FF3520">
              <w:rPr>
                <w:sz w:val="18"/>
                <w:szCs w:val="18"/>
                <w:lang w:eastAsia="hu-HU"/>
              </w:rPr>
              <w:t xml:space="preserve"> Pénznem: </w:t>
            </w:r>
            <w:r>
              <w:rPr>
                <w:rFonts w:eastAsia="MyriadPro-Semibold"/>
                <w:color w:val="0000CC"/>
                <w:lang w:eastAsia="hu-HU"/>
              </w:rPr>
              <w:t>…………..</w:t>
            </w:r>
            <w:r>
              <w:rPr>
                <w:rFonts w:eastAsia="MyriadPro-Semibold"/>
                <w:color w:val="FF0000"/>
                <w:highlight w:val="green"/>
                <w:lang w:eastAsia="hu-HU"/>
              </w:rPr>
              <w:t xml:space="preserve"> 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VI.3.7) Bármely rész eredménytelensége esetében valamennyi rész eredménytelenségére vonatkozó információ</w:t>
            </w:r>
            <w:r w:rsidRPr="00F31610">
              <w:rPr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Ajánlatkérő rögzíti, hogy bármely rész eredménytelensége esetén nem áll érdekében a szerződések megkötése.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sz w:val="18"/>
                <w:szCs w:val="18"/>
                <w:lang w:eastAsia="hu-HU"/>
              </w:rPr>
              <w:t>Valamennyi rész esetében a szerződéskötés érdekmúlásának indoka:</w:t>
            </w:r>
          </w:p>
        </w:tc>
      </w:tr>
      <w:tr w:rsidR="006430AC" w:rsidRPr="009513C3">
        <w:tc>
          <w:tcPr>
            <w:tcW w:w="0" w:type="auto"/>
          </w:tcPr>
          <w:p w:rsidR="006430AC" w:rsidRPr="009513C3" w:rsidRDefault="006430AC" w:rsidP="009513C3">
            <w:pPr>
              <w:spacing w:before="120" w:after="120"/>
              <w:jc w:val="left"/>
              <w:rPr>
                <w:color w:val="FF0000"/>
                <w:sz w:val="18"/>
                <w:szCs w:val="18"/>
                <w:lang w:eastAsia="hu-HU"/>
              </w:rPr>
            </w:pPr>
            <w:r w:rsidRPr="009513C3">
              <w:rPr>
                <w:b/>
                <w:bCs/>
                <w:color w:val="FF0000"/>
                <w:sz w:val="18"/>
                <w:szCs w:val="18"/>
                <w:lang w:eastAsia="hu-HU"/>
              </w:rPr>
              <w:t>VI.3.8) Az ajánlatok értékelési szempontok szerinti tartalmi elemeinek értékelése során adható pontszám:</w:t>
            </w:r>
            <w:r w:rsidRPr="009513C3">
              <w:rPr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9513C3">
              <w:rPr>
                <w:color w:val="FF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RPr="009513C3">
        <w:tc>
          <w:tcPr>
            <w:tcW w:w="0" w:type="auto"/>
          </w:tcPr>
          <w:p w:rsidR="006430AC" w:rsidRPr="009513C3" w:rsidRDefault="006430AC" w:rsidP="009513C3">
            <w:pPr>
              <w:spacing w:before="120" w:after="120"/>
              <w:jc w:val="left"/>
              <w:rPr>
                <w:color w:val="FF0000"/>
                <w:sz w:val="18"/>
                <w:szCs w:val="18"/>
                <w:vertAlign w:val="superscript"/>
                <w:lang w:eastAsia="hu-HU"/>
              </w:rPr>
            </w:pPr>
            <w:r w:rsidRPr="009513C3">
              <w:rPr>
                <w:b/>
                <w:bCs/>
                <w:color w:val="FF0000"/>
                <w:sz w:val="18"/>
                <w:szCs w:val="18"/>
                <w:lang w:eastAsia="hu-HU"/>
              </w:rPr>
              <w:t xml:space="preserve">VI.3.9) A módszer(ek) meghatározása, amellyel a VI.3.8) pont szerinti ponthatárok közötti pontszámot megadásra kerül: </w:t>
            </w:r>
            <w:r w:rsidRPr="009513C3">
              <w:rPr>
                <w:color w:val="FF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6430AC" w:rsidRPr="00F31610">
        <w:tc>
          <w:tcPr>
            <w:tcW w:w="0" w:type="auto"/>
          </w:tcPr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VI.3.10) Életciklusköltség-számítási módszer alkalmazására vonatkozó információ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31610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sz w:val="18"/>
                <w:szCs w:val="18"/>
                <w:lang w:eastAsia="hu-HU"/>
              </w:rPr>
              <w:t xml:space="preserve"> Ajánlatkérő az áru, szolgáltatás vagy építési beruházás értékeléskor figyelembe vett költségét életciklusköltség-számítási módszer alkalmazásával határozza meg.</w:t>
            </w:r>
          </w:p>
        </w:tc>
      </w:tr>
      <w:tr w:rsidR="006430AC" w:rsidRPr="00F31610">
        <w:tc>
          <w:tcPr>
            <w:tcW w:w="0" w:type="auto"/>
          </w:tcPr>
          <w:p w:rsidR="006430AC" w:rsidRPr="00F55A8D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55A8D">
              <w:rPr>
                <w:b/>
                <w:bCs/>
                <w:sz w:val="18"/>
                <w:szCs w:val="18"/>
                <w:lang w:eastAsia="hu-HU"/>
              </w:rPr>
              <w:t xml:space="preserve">VI.3.11) A bírálatra vonatkozó további információk </w:t>
            </w:r>
            <w:r w:rsidRPr="00F55A8D">
              <w:rPr>
                <w:i/>
                <w:iCs/>
                <w:sz w:val="18"/>
                <w:szCs w:val="18"/>
                <w:lang w:eastAsia="hu-HU"/>
              </w:rPr>
              <w:t>(nyílt eljárás esetében)</w:t>
            </w:r>
          </w:p>
          <w:p w:rsidR="006430AC" w:rsidRPr="00F55A8D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55A8D">
              <w:rPr>
                <w:rFonts w:eastAsia="MyriadPro-Semibold"/>
                <w:color w:val="0000CC"/>
                <w:lang w:eastAsia="hu-HU"/>
              </w:rPr>
              <w:t>X</w:t>
            </w:r>
            <w:r w:rsidRPr="00F55A8D">
              <w:rPr>
                <w:sz w:val="18"/>
                <w:szCs w:val="18"/>
                <w:lang w:eastAsia="hu-HU"/>
              </w:rPr>
              <w:t xml:space="preserve"> Ajánlatkérő a bírálatnak az aránytalanul alacsony ár vagy költség vizsgálatára vonatkozó részét az ajánlatok értékelését követően végzi el.</w:t>
            </w:r>
          </w:p>
          <w:p w:rsidR="006430AC" w:rsidRPr="00F31610" w:rsidRDefault="006430AC" w:rsidP="0042537D">
            <w:pPr>
              <w:spacing w:before="120" w:after="120"/>
              <w:jc w:val="left"/>
              <w:rPr>
                <w:lang w:eastAsia="hu-HU"/>
              </w:rPr>
            </w:pPr>
            <w:r w:rsidRPr="00F55A8D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F55A8D">
              <w:rPr>
                <w:sz w:val="18"/>
                <w:szCs w:val="18"/>
                <w:lang w:eastAsia="hu-HU"/>
              </w:rPr>
              <w:t xml:space="preserve"> Ajánlatkérő az ajánlatok bírálatát – az egységes európai közbeszerzési dokumentumban foglalt nyilatkozat alapján – az ajánlatok értékelését követően végzi el.</w:t>
            </w:r>
          </w:p>
        </w:tc>
      </w:tr>
      <w:tr w:rsidR="006430AC" w:rsidRPr="00F31610">
        <w:tc>
          <w:tcPr>
            <w:tcW w:w="0" w:type="auto"/>
          </w:tcPr>
          <w:p w:rsidR="006430AC" w:rsidRDefault="006430AC" w:rsidP="0042537D">
            <w:pPr>
              <w:spacing w:before="120" w:after="120"/>
              <w:jc w:val="left"/>
              <w:rPr>
                <w:b/>
                <w:bCs/>
                <w:lang w:eastAsia="hu-HU"/>
              </w:rPr>
            </w:pPr>
            <w:r w:rsidRPr="00F31610">
              <w:rPr>
                <w:b/>
                <w:bCs/>
                <w:sz w:val="18"/>
                <w:szCs w:val="18"/>
                <w:lang w:eastAsia="hu-HU"/>
              </w:rPr>
              <w:t>VI.3.12</w:t>
            </w:r>
            <w:r w:rsidRPr="00F31610">
              <w:rPr>
                <w:b/>
                <w:bCs/>
                <w:lang w:eastAsia="hu-HU"/>
              </w:rPr>
              <w:t xml:space="preserve">) </w:t>
            </w:r>
            <w:r w:rsidRPr="00D32253">
              <w:rPr>
                <w:b/>
                <w:bCs/>
                <w:sz w:val="18"/>
                <w:szCs w:val="18"/>
                <w:lang w:eastAsia="hu-HU"/>
              </w:rPr>
              <w:t>További információk</w:t>
            </w:r>
            <w:r w:rsidRPr="00F31610">
              <w:rPr>
                <w:b/>
                <w:bCs/>
                <w:lang w:eastAsia="hu-HU"/>
              </w:rPr>
              <w:t>:</w:t>
            </w:r>
          </w:p>
          <w:p w:rsidR="006430AC" w:rsidRPr="00F625CF" w:rsidRDefault="006430AC" w:rsidP="00CB74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 Kbt. 39.§ (1) és a Kbt. 57.§ (1) bekezdése alapján a közbeszerzési dokumentáció elektronikus úton, az ajánlattételi határidő lejártáig korlátlanul, teljes körűen, közvetlenül és térítésmentesen hozzáférhető, bármely érdekelt gazdasági szereplő számára, az alábbi elektronikus elérhetőségen: http://mail.veszprember.hu/feltoltes/kozbesz2</w:t>
            </w:r>
          </w:p>
          <w:p w:rsidR="006430AC" w:rsidRPr="00F625CF" w:rsidRDefault="006430AC" w:rsidP="00CB7493">
            <w:pPr>
              <w:pStyle w:val="ListParagraph"/>
              <w:autoSpaceDE w:val="0"/>
              <w:autoSpaceDN w:val="0"/>
              <w:adjustRightInd w:val="0"/>
              <w:ind w:left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Ajánlattevő a jelen felhívás I.3.) pontjában megadott elérhetőségeken írásban jelezheti érdeklődését (regisztráció) az eljárás iránt az alábbi adatok megadásával: gazdasági szereplő neve; kapcsolattartó személy neve; székhely; levelezési cím; telefonszám; fax szám; elektronikus levelezési cím.</w:t>
            </w:r>
          </w:p>
          <w:p w:rsidR="006430AC" w:rsidRPr="00632AA0" w:rsidRDefault="006430AC" w:rsidP="00CB7493">
            <w:pPr>
              <w:autoSpaceDE w:val="0"/>
              <w:autoSpaceDN w:val="0"/>
              <w:adjustRightInd w:val="0"/>
              <w:ind w:left="425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Azoknak a gazdasági szereplőknek, akik az eljárás iránt érdeklődésüket jelezték, ajánlatkérő megadja az elektronikus elérhetőséghez tartozó felhasználónevet és jelszót, amellyel a közbeszerzési dokumentáció letölthető.</w:t>
            </w:r>
          </w:p>
          <w:p w:rsidR="006430AC" w:rsidRPr="00632AA0" w:rsidRDefault="006430AC" w:rsidP="00CB7493">
            <w:pPr>
              <w:autoSpaceDE w:val="0"/>
              <w:autoSpaceDN w:val="0"/>
              <w:adjustRightInd w:val="0"/>
              <w:ind w:left="425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Ajánlatkérő a Kbt. 57 § (2) bekezdés alapján előírja, hogy az ajánlattételi határidő lejártáig a közbeszerzési dokumentumot ajánlatonként legalább egy ajánlattevőnek, vagy az ajánlatban megnevezett alvállalkozónak át kell vennie, vagy elektronikus úton el kell érnie, mely az eljárásban való részvétel feltétele.</w:t>
            </w:r>
          </w:p>
          <w:p w:rsidR="006430AC" w:rsidRDefault="006430AC" w:rsidP="00CB7493">
            <w:pPr>
              <w:autoSpaceDE w:val="0"/>
              <w:autoSpaceDN w:val="0"/>
              <w:adjustRightInd w:val="0"/>
              <w:ind w:left="425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Közös ajánlattétel esetén elegendő, ha csak az egyik ajánlattevő veszi át a közbeszerzési dokumentumot. A közbeszerzési dokumentum másra nem átruházható. </w:t>
            </w:r>
          </w:p>
          <w:p w:rsidR="006430AC" w:rsidRPr="00F625CF" w:rsidRDefault="006430AC" w:rsidP="00DA76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 xml:space="preserve">Ajánlatkérő </w:t>
            </w:r>
            <w:r w:rsidRPr="00F625CF">
              <w:rPr>
                <w:rFonts w:eastAsia="MyriadPro-Semibold"/>
                <w:color w:val="FF0000"/>
                <w:lang w:eastAsia="hu-HU"/>
              </w:rPr>
              <w:t>2016. december 1.-jén 14:00</w:t>
            </w:r>
            <w:r w:rsidRPr="00F625CF">
              <w:rPr>
                <w:rFonts w:eastAsia="MyriadPro-Semibold"/>
                <w:color w:val="0000CC"/>
                <w:lang w:eastAsia="hu-HU"/>
              </w:rPr>
              <w:t xml:space="preserve"> órakor nem konzultációs jellegű helyszíni bejárást tart. Találkozó: 8420 Zirc, József A. u. 17.-19.</w:t>
            </w:r>
          </w:p>
          <w:p w:rsidR="006430AC" w:rsidRPr="00F625CF" w:rsidRDefault="006430AC" w:rsidP="00DA76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Tekintettel arra, hogy a közbeszerzési eljárás 15 település társulásával közös közbeszerzési eljárásban valósul meg, Ajánlatkérő felhívja a figyelmet, hogy a közbeszerzési eljárásban az eljárás eredményével kapcsolatban az érintett települések külön-külön jogosultak hozzájárulási döntést hozni, hogy a legjobb ár-érték arányt benyújtó ajánlattevő által megajánlott ajánlati ár alapján rájuk háruló díjat megtudják-e fizetni az ajánlattevő felé. Ajánlatkérő eredménytelenné nyilvánítja az eljárást, ha a 15 ellátásban érintett települési önkormányzat közül 4, vagy annál több települési önkormányzat hoz nem támogató döntést a legjobb ár-érték arányt benyújtó ajánlattevő vonatkozásában. Amennyiben a 15 ellátásban érintett települési önkormányzat közül 3, vagy annál kevesebb települési önkormányzat hoz nem támogató döntést a legjobb ár-érték arányt benyújtó ajánlattevő vonatkozásában, úgy a hozzájáruló döntést meghozó ellátásban érintett települési önkormányzatok az esetlegesen rájuk háruló többlet költségek kifizetésének átvállalásával kihirdethetik az eljárás eredményét, és megköthetik a szerződést a legjobb ár-érték arányt benyújtó ajánlattevővel.</w:t>
            </w:r>
          </w:p>
          <w:p w:rsidR="006430AC" w:rsidRPr="00F625CF" w:rsidRDefault="006430AC" w:rsidP="00CB74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 xml:space="preserve">Ajánlatkérő a hiánypótlást a Kbt. 71.§ (1) bekezdése szerint teljes körben biztosítja. </w:t>
            </w:r>
          </w:p>
          <w:p w:rsidR="006430AC" w:rsidRPr="00632AA0" w:rsidRDefault="006430AC" w:rsidP="00CB7493">
            <w:pPr>
              <w:autoSpaceDE w:val="0"/>
              <w:autoSpaceDN w:val="0"/>
              <w:adjustRightInd w:val="0"/>
              <w:ind w:left="426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Ajánlatkérő jelzi, hogy a Kbt. 71.§ (6) bekezdése alapján nem rendel el újabb hiánypótlást arra vonatkozóan, ha a hiánypótlás során az ajánlattevő az ajánlatban korábban nem szereplő gazdasági szereplőt von be az eljárásba, és e gazdasági szereplőre tekintettel lenne szükséges az újabb hiánypótlás.</w:t>
            </w:r>
          </w:p>
          <w:p w:rsidR="006430AC" w:rsidRPr="00F625CF" w:rsidRDefault="006430AC" w:rsidP="00CB74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Ajánlattevőnek az ajánlatában nyilatkoznia kell a Kbt. 66.§ (2) és (4) bekezdéseiben foglaltakról.</w:t>
            </w:r>
          </w:p>
          <w:p w:rsidR="006430AC" w:rsidRPr="00F625CF" w:rsidRDefault="006430AC" w:rsidP="00CB74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 xml:space="preserve">Ajánlatkérő a Kbt. 66. § (6) bekezdés alapján előírja, hogy az ajánlattevőnek meg kell jelölni </w:t>
            </w:r>
          </w:p>
          <w:p w:rsidR="006430AC" w:rsidRPr="00F625CF" w:rsidRDefault="006430AC" w:rsidP="00CB7493">
            <w:pPr>
              <w:pStyle w:val="ListParagraph"/>
              <w:autoSpaceDE w:val="0"/>
              <w:autoSpaceDN w:val="0"/>
              <w:adjustRightInd w:val="0"/>
              <w:ind w:left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 xml:space="preserve">a) a közbeszerzésnek azt a részét (részeit), amelynek teljesítéséhez az ajánlattevő alvállalkozót kíván igénybe venni, valamint </w:t>
            </w:r>
          </w:p>
          <w:p w:rsidR="006430AC" w:rsidRPr="00F625CF" w:rsidRDefault="006430AC" w:rsidP="00CB7493">
            <w:pPr>
              <w:pStyle w:val="ListParagraph"/>
              <w:autoSpaceDE w:val="0"/>
              <w:autoSpaceDN w:val="0"/>
              <w:adjustRightInd w:val="0"/>
              <w:ind w:left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b) az ezen részek tekintetében igénybe venni kívánt és az ajánlat benyújtásakor már ismert alvállalkozókat.</w:t>
            </w:r>
          </w:p>
          <w:p w:rsidR="006430AC" w:rsidRPr="00F625CF" w:rsidRDefault="006430AC" w:rsidP="00CB7493">
            <w:pPr>
              <w:pStyle w:val="ListParagraph"/>
              <w:autoSpaceDE w:val="0"/>
              <w:autoSpaceDN w:val="0"/>
              <w:adjustRightInd w:val="0"/>
              <w:ind w:left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Fentiekre való tekintettel az ajánlattevő köteles csatolni a Kbt. 66. § (6) bekezdése szerinti nyilatkozatát. A nemleges tartalmú nyilatkozatot is csatolni kell!</w:t>
            </w:r>
          </w:p>
          <w:p w:rsidR="006430AC" w:rsidRPr="00F625CF" w:rsidRDefault="006430AC" w:rsidP="00CB74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Kiegészítő tájékoztatás: a Kbt. 114.§ (6) bekezdésében foglaltak alapján.</w:t>
            </w:r>
          </w:p>
          <w:p w:rsidR="006430AC" w:rsidRPr="00F625CF" w:rsidRDefault="006430AC" w:rsidP="00CB74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 Kbt. 47.§ (2) bekezdésének megfelelően az előírt dokumentumok egyszerű másolatban is benyújthatóak, kivéve a Kbt. 66.§ (2) bekezdése szerinti nyilatkozatot és a kezességvállalásról szóló nyilatkozatot (amennyiben releváns), amelyeket eredeti példányban szükséges csatolni.</w:t>
            </w:r>
          </w:p>
          <w:p w:rsidR="006430AC" w:rsidRPr="00F625CF" w:rsidRDefault="006430AC" w:rsidP="00CB74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Ajánlatkérő az alkalmassági feltételeket a minősített ajánlattevők jegyzékében szereplő előírásokhoz képest szigorúbban határozta meg a P1. és M1. pontok tekintetében.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Az ajánlat részeként csatolni kell az ajánlattevő, az alkalmasság igazolásában részt vevő szervezet, illetve az ajánlatban megjelölt alvállalkozó nevében aláíró és szignáló személy közjegyző által hitelesített aláírási címpéldányának vagy a cégnyilvánosságról, a bírósági cégeljárásról és a végelszámolásról szóló 2006. évi V. tv. 9.§ (3) bekezdése előírásainak megfelelően elkészített, ügyvéd által ellenjegyzett aláírás-minta egyszerű másolati példányát. Nem cégformában működő ajánlattevő, az alkalmasság igazolásában részt vevő szervezet esetében az ajánlathoz csatolni kell ügyvéd által ellenjegyzett aláírás-minta egyszerű másolati példányát.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Ajánlatkérő az aláírási jogosultságok ellenőrzése céljából az ajánlattevő adatait a www.e-cegjegyzek.hu weboldalon ellenőrzi. Amennyiben az említett weboldalon az ajánlattevő adatai nem találhatóak meg, akkor az ajánlattételi határidőt megelőző 30 napnál nem régebbi cégkivonato(ka)t az ajánlathoz csatolni szükséges.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 321/2015. (X.30.) Korm. rendelet 13. §-a alapján folyamatban lévő változásbejegyzési eljárás esetén az ajánlattevőnek csatolnia kell a cégbírósághoz benyújtott változásbejegyzési kérelmet és az annak érkezéséről a cégbíróság által megküldött igazolást. Ha a kötelezettségvállaló (ajánlatot aláíró) személye nem azonos a cégjegyzésre jogosulttal, úgy a jogosultságot meghatalmazással kell igazolni.</w:t>
            </w:r>
          </w:p>
          <w:p w:rsidR="006430AC" w:rsidRPr="00F625CF" w:rsidRDefault="006430AC" w:rsidP="000955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Közös ajánlattétel esetén a Kbt. 35.§-a szerint a vezető céget meg kell jelölni és a közös ajánlattevőknek egyetemleges felelősséget kell vállalniuk, valamint konzorciumi megállapodást kell kötni, és az ajánlatban csatolni kell azt.</w:t>
            </w:r>
          </w:p>
          <w:p w:rsidR="006430AC" w:rsidRPr="00632AA0" w:rsidRDefault="006430AC" w:rsidP="00095515">
            <w:pPr>
              <w:ind w:left="426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Közös ajánlattétel esetén csatolni kell a közös ajánlattevők által cégszerűen aláírt közös ajánlattevői megállapodást, amely megfelel valamennyi alábbi követelménynek:</w:t>
            </w:r>
          </w:p>
          <w:p w:rsidR="006430AC" w:rsidRPr="00632AA0" w:rsidRDefault="006430AC" w:rsidP="00095515">
            <w:pPr>
              <w:numPr>
                <w:ilvl w:val="0"/>
                <w:numId w:val="7"/>
              </w:numPr>
              <w:tabs>
                <w:tab w:val="left" w:pos="851"/>
              </w:tabs>
              <w:ind w:left="851" w:hanging="425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tartalmazza az ajánlattevők adatait (név, székhely),</w:t>
            </w:r>
          </w:p>
          <w:p w:rsidR="006430AC" w:rsidRPr="00632AA0" w:rsidRDefault="006430AC" w:rsidP="00095515">
            <w:pPr>
              <w:numPr>
                <w:ilvl w:val="0"/>
                <w:numId w:val="8"/>
              </w:numPr>
              <w:tabs>
                <w:tab w:val="clear" w:pos="567"/>
                <w:tab w:val="left" w:pos="851"/>
              </w:tabs>
              <w:ind w:left="851" w:hanging="425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a közös ajánlattételt vezető ajánlattevő megnevezését, aki jogosult a közös ajánlattevők képviseletére (a közös ajánlattevők képviseletében tett minden nyilatkozatnak egyértelműen tartalmaznia kell a közös ajánlattevők megjelölését),</w:t>
            </w:r>
          </w:p>
          <w:p w:rsidR="006430AC" w:rsidRPr="00632AA0" w:rsidRDefault="006430AC" w:rsidP="00095515">
            <w:pPr>
              <w:numPr>
                <w:ilvl w:val="0"/>
                <w:numId w:val="8"/>
              </w:numPr>
              <w:tabs>
                <w:tab w:val="clear" w:pos="567"/>
                <w:tab w:val="left" w:pos="851"/>
              </w:tabs>
              <w:ind w:left="851" w:hanging="425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nyilatkozatot arra vonatkozóan, hogy a közös ajánlattevők a szerződés teljesítéséért egyetemleges felelősséget vállalnak,</w:t>
            </w:r>
          </w:p>
          <w:p w:rsidR="006430AC" w:rsidRPr="00632AA0" w:rsidRDefault="006430AC" w:rsidP="00095515">
            <w:pPr>
              <w:numPr>
                <w:ilvl w:val="0"/>
                <w:numId w:val="8"/>
              </w:numPr>
              <w:tabs>
                <w:tab w:val="clear" w:pos="567"/>
                <w:tab w:val="left" w:pos="851"/>
              </w:tabs>
              <w:ind w:left="851" w:hanging="425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nyertesség esetén a szerződés aláírására jogosult felet/feleket,</w:t>
            </w:r>
          </w:p>
          <w:p w:rsidR="006430AC" w:rsidRPr="00632AA0" w:rsidRDefault="006430AC" w:rsidP="00095515">
            <w:pPr>
              <w:numPr>
                <w:ilvl w:val="0"/>
                <w:numId w:val="8"/>
              </w:numPr>
              <w:tabs>
                <w:tab w:val="clear" w:pos="567"/>
                <w:tab w:val="left" w:pos="851"/>
              </w:tabs>
              <w:ind w:left="851" w:hanging="425"/>
              <w:rPr>
                <w:rFonts w:eastAsia="MyriadPro-Semibold"/>
                <w:color w:val="0000CC"/>
                <w:lang w:eastAsia="hu-HU"/>
              </w:rPr>
            </w:pPr>
            <w:r w:rsidRPr="00632AA0">
              <w:rPr>
                <w:rFonts w:eastAsia="MyriadPro-Semibold"/>
                <w:color w:val="0000CC"/>
                <w:lang w:eastAsia="hu-HU"/>
              </w:rPr>
              <w:t>az ajánlattevők közötti együttműködés szabályait, a feladatmegosztást, a feladatok teljesítésének százalékos megoszlását, az egymás közötti pénzügyi elszámolás módját.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 Kbt. 44.§ (1) bekezdése alapján ajánlattevő az ajánlatában - kifejezetten és elkülönített módon, mellékletben - közölt üzleti titkot tartalmazó iratok nyilvánosságra hozatalát megtilthatja.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 xml:space="preserve">Az ajánlatot 1 eredeti példányban papír alapon, roncsolásmentes kötésben, valamint 1 példányban elektronikus adathordozón (CD/DVD) kérjük benyújtani. Az elektronikus példánynak az eredeti – teljes terjedelmű - aláírt ajánlatot kell tartalmaznia oly módon, hogy az ne legyen módosítható (lehetődés szerint pdf formátumban), továbbá az ajánlati ár ellenőrzéséhez a költségvetést kell tartalmaznia excel formátumban. Az 1 példány (nyomtatott) ajánlatot az 1 példány CD-vel együtt 1 db lezárt csomagolásban kérjük benyújtani. A csomagolásra rá kell írni az alábbi szövegeket: </w:t>
            </w:r>
            <w:r w:rsidRPr="00F625CF">
              <w:rPr>
                <w:rFonts w:eastAsia="MyriadPro-Semibold"/>
                <w:i/>
                <w:iCs/>
                <w:color w:val="0000CC"/>
                <w:lang w:eastAsia="hu-HU"/>
              </w:rPr>
              <w:t xml:space="preserve">„Zirci Járás Önkormányzati Társulása területén központi háziorvosi ügyeleti feladatok ellátása a </w:t>
            </w:r>
            <w:r w:rsidRPr="00F625CF">
              <w:rPr>
                <w:rFonts w:eastAsia="MyriadPro-Semibold"/>
                <w:i/>
                <w:color w:val="FF0000"/>
                <w:lang w:eastAsia="hu-HU"/>
              </w:rPr>
              <w:t>2017. március 1. és 2019. december 31.</w:t>
            </w:r>
            <w:r w:rsidRPr="00F625CF">
              <w:rPr>
                <w:rFonts w:eastAsia="MyriadPro-Semibold"/>
                <w:color w:val="0000CC"/>
                <w:lang w:eastAsia="hu-HU"/>
              </w:rPr>
              <w:t xml:space="preserve"> közötti</w:t>
            </w:r>
            <w:r w:rsidRPr="00F625CF">
              <w:rPr>
                <w:rFonts w:eastAsia="MyriadPro-Semibold"/>
                <w:i/>
                <w:iCs/>
                <w:color w:val="0000CC"/>
                <w:lang w:eastAsia="hu-HU"/>
              </w:rPr>
              <w:t xml:space="preserve"> időszakban”</w:t>
            </w:r>
            <w:r w:rsidRPr="00F625CF">
              <w:rPr>
                <w:rFonts w:eastAsia="MyriadPro-Semibold"/>
                <w:color w:val="0000CC"/>
                <w:lang w:eastAsia="hu-HU"/>
              </w:rPr>
              <w:t xml:space="preserve"> valamint </w:t>
            </w:r>
            <w:r w:rsidRPr="00F625CF">
              <w:rPr>
                <w:rFonts w:eastAsia="MyriadPro-Semibold"/>
                <w:i/>
                <w:iCs/>
                <w:color w:val="0000CC"/>
                <w:lang w:eastAsia="hu-HU"/>
              </w:rPr>
              <w:t>„Tilos felbontani az ajánlattételi határidő lejártáig!”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Roncsolásmentes kötés: A papír alapú ajánlatot zsinórral, lapozhatóan össze kell fűzni, a csomót matricával az ajánlat első vagy hátsó lapjához rögzíteni kell, a matricát le kell bélyegezni, vagy az ajánlattevő részéről erre jogosultnak alá kell írni, úgy hogy a bélyegző, illetőleg az aláírás legalább egy része a matricán legyen.</w:t>
            </w:r>
          </w:p>
          <w:p w:rsidR="006430AC" w:rsidRPr="00F625CF" w:rsidRDefault="006430AC" w:rsidP="009B13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 xml:space="preserve">Az ajánlat összeállítása a </w:t>
            </w:r>
            <w:r w:rsidRPr="00F625CF">
              <w:rPr>
                <w:rFonts w:eastAsia="MyriadPro-Semibold"/>
                <w:i/>
                <w:iCs/>
                <w:color w:val="0000CC"/>
                <w:lang w:eastAsia="hu-HU"/>
              </w:rPr>
              <w:t>„IV/11. Ajánlat részeként benyújtandó igazolások, nyilatkozatok, dokumentumok jegyzéke”</w:t>
            </w:r>
            <w:r w:rsidRPr="00F625CF">
              <w:rPr>
                <w:rFonts w:eastAsia="MyriadPro-Semibold"/>
                <w:color w:val="0000CC"/>
                <w:lang w:eastAsia="hu-HU"/>
              </w:rPr>
              <w:t xml:space="preserve"> című pontban részletezett dokumentumokkal, nyilatkozatokkal, igazolásokkal és egyéb iratokkal történhet.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Az ajánlat oldalszámozása eggyel kezdődjön és oldalanként növekedjen. Elegendő a tartalommal rendelkező oldalakat számozni, az üres oldalakat nem kell, de lehet. A címlapot és hátlapot (ha vannak) nem kell, de lehet számozni.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Az ajánlatnak az elején tartalomjegyzéket kell tartalmaznia, mely alapján az ajánlatban szereplő dokumentumok oldalszám alapján megtalálhatóak.</w:t>
            </w:r>
          </w:p>
          <w:p w:rsidR="006430AC" w:rsidRPr="00F625CF" w:rsidRDefault="006430AC" w:rsidP="009B13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Az ajánlatban felolvasólapot kell elhelyezni, ami tartalmazza a Kbt. 68.§ (4) bekezdése szerinti összes adatot.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Az ajánlat minden olyan oldalát, amelyen - az ajánlat beadása előtt - módosítást hajtottak végre, az adott dokumentumot aláíró személynek vagy személyeknek a módosításnál is kézjeggyel kell ellátni.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 xml:space="preserve">Az ajánlatban lévő minden nyilatkozatot cégszerűen alá kell írnia az erre jogosult(ak)nak vagy olyan személynek, vagy személyeknek aki(k) erre a jogosult személy(ek)től írásos felhatalmazást kaptak. 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Amennyiben a papír alapú példány, valamint az elektronikus adathordozón benyújtott ajánlatok között eltérés van, úgy az eredeti papír alapú példányban (nyomtatott formában) benyújtott ajánlatot tekinti Ajánlatkérő irányadónak, ezen ajánlat kerül értékelésre.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Az ajánlatok közvetlenül (személyes átadás) vagy postai úton (futárszolgálat is) nyújthatók be az ajánlattételi határidő lejártáig. Postai feladás (futárszolgálat is) esetén az ajánlatnak a megjelölt ajánlattételi határidő lejártáig igazolható módon meg kell érkeznie.</w:t>
            </w:r>
          </w:p>
          <w:p w:rsidR="006430AC" w:rsidRPr="00F625CF" w:rsidRDefault="006430AC" w:rsidP="009A6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Amennyiben az ajánlatkérő a Kbt. 79.§ (2) bek. szerinti összegezésben a második legkedvezőbbnek minősített ajánlattevőt is meghatározza, a nyertes ajánlattevő visszalépése esetén ezzel az ajánlattevővel köthet szerződést.</w:t>
            </w:r>
          </w:p>
          <w:p w:rsidR="006430AC" w:rsidRPr="00F625CF" w:rsidRDefault="006430AC" w:rsidP="002F4F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425"/>
              <w:rPr>
                <w:rFonts w:eastAsia="MyriadPro-Semibold"/>
                <w:color w:val="0000CC"/>
                <w:lang w:eastAsia="hu-HU"/>
              </w:rPr>
            </w:pPr>
            <w:r w:rsidRPr="00F625CF">
              <w:rPr>
                <w:rFonts w:eastAsia="MyriadPro-Semibold"/>
                <w:color w:val="0000CC"/>
                <w:lang w:eastAsia="hu-HU"/>
              </w:rPr>
              <w:t>Jelen felhívásban nem szabályozott kérdések vonatkozásában a közbeszerzésekről szóló 2015. évi CXLIII. törvény előírásai szerint kell eljárni.</w:t>
            </w:r>
          </w:p>
        </w:tc>
      </w:tr>
    </w:tbl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b/>
          <w:bCs/>
          <w:lang w:eastAsia="hu-HU"/>
        </w:rPr>
        <w:t xml:space="preserve">VI.4) E hirdetmény feladásának dátuma: </w:t>
      </w:r>
      <w:r w:rsidRPr="00DE2573">
        <w:rPr>
          <w:color w:val="0000FF"/>
          <w:lang w:eastAsia="hu-HU"/>
        </w:rPr>
        <w:t>2016/1</w:t>
      </w:r>
      <w:r>
        <w:rPr>
          <w:color w:val="0000FF"/>
          <w:lang w:eastAsia="hu-HU"/>
        </w:rPr>
        <w:t>1</w:t>
      </w:r>
      <w:r w:rsidRPr="00DE2573">
        <w:rPr>
          <w:color w:val="0000FF"/>
          <w:lang w:eastAsia="hu-HU"/>
        </w:rPr>
        <w:t>/</w:t>
      </w:r>
      <w:r w:rsidRPr="00023306">
        <w:rPr>
          <w:color w:val="FF0000"/>
          <w:lang w:eastAsia="hu-HU"/>
        </w:rPr>
        <w:t>08</w:t>
      </w:r>
    </w:p>
    <w:p w:rsidR="006430AC" w:rsidRPr="00F31610" w:rsidRDefault="006430AC" w:rsidP="0042537D">
      <w:pPr>
        <w:spacing w:before="120" w:after="120"/>
        <w:jc w:val="center"/>
        <w:rPr>
          <w:lang w:eastAsia="hu-HU"/>
        </w:rPr>
      </w:pPr>
      <w:r w:rsidRPr="00F31610">
        <w:rPr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6430AC" w:rsidRPr="00F31610" w:rsidRDefault="006430AC" w:rsidP="0042537D">
      <w:pPr>
        <w:spacing w:before="120" w:after="120"/>
        <w:jc w:val="center"/>
        <w:rPr>
          <w:lang w:eastAsia="hu-HU"/>
        </w:rPr>
      </w:pPr>
      <w:r w:rsidRPr="00F31610">
        <w:rPr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sz w:val="18"/>
          <w:szCs w:val="18"/>
          <w:vertAlign w:val="superscript"/>
          <w:lang w:eastAsia="hu-HU"/>
        </w:rPr>
        <w:t>1</w:t>
      </w:r>
      <w:r w:rsidRPr="00F31610">
        <w:rPr>
          <w:vertAlign w:val="superscript"/>
          <w:lang w:eastAsia="hu-HU"/>
        </w:rPr>
        <w:t>    </w:t>
      </w:r>
      <w:r w:rsidRPr="00F31610">
        <w:rPr>
          <w:i/>
          <w:iCs/>
          <w:sz w:val="18"/>
          <w:szCs w:val="18"/>
          <w:lang w:eastAsia="hu-HU"/>
        </w:rPr>
        <w:t>szükség szerinti számban ismételje meg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sz w:val="18"/>
          <w:szCs w:val="18"/>
          <w:vertAlign w:val="superscript"/>
          <w:lang w:eastAsia="hu-HU"/>
        </w:rPr>
        <w:t>2    </w:t>
      </w:r>
      <w:r w:rsidRPr="00F31610">
        <w:rPr>
          <w:i/>
          <w:iCs/>
          <w:sz w:val="18"/>
          <w:szCs w:val="18"/>
          <w:lang w:eastAsia="hu-HU"/>
        </w:rPr>
        <w:t>adott esetben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sz w:val="18"/>
          <w:szCs w:val="18"/>
          <w:vertAlign w:val="superscript"/>
          <w:lang w:eastAsia="hu-HU"/>
        </w:rPr>
        <w:t>4    </w:t>
      </w:r>
      <w:r w:rsidRPr="00F31610">
        <w:rPr>
          <w:i/>
          <w:iCs/>
          <w:sz w:val="18"/>
          <w:szCs w:val="18"/>
          <w:lang w:eastAsia="hu-HU"/>
        </w:rPr>
        <w:t>ha az információ ismert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sz w:val="18"/>
          <w:szCs w:val="18"/>
          <w:vertAlign w:val="superscript"/>
          <w:lang w:eastAsia="hu-HU"/>
        </w:rPr>
        <w:t>20    </w:t>
      </w:r>
      <w:r w:rsidRPr="00F31610">
        <w:rPr>
          <w:i/>
          <w:iCs/>
          <w:sz w:val="18"/>
          <w:szCs w:val="18"/>
          <w:lang w:eastAsia="hu-HU"/>
        </w:rPr>
        <w:t>súlyszám helyett fontosság is megadható</w:t>
      </w:r>
    </w:p>
    <w:p w:rsidR="006430AC" w:rsidRPr="00F31610" w:rsidRDefault="006430AC" w:rsidP="0042537D">
      <w:pPr>
        <w:spacing w:before="120" w:after="120"/>
        <w:jc w:val="left"/>
        <w:rPr>
          <w:lang w:eastAsia="hu-HU"/>
        </w:rPr>
      </w:pPr>
      <w:r w:rsidRPr="00F31610">
        <w:rPr>
          <w:sz w:val="18"/>
          <w:szCs w:val="18"/>
          <w:vertAlign w:val="superscript"/>
          <w:lang w:eastAsia="hu-HU"/>
        </w:rPr>
        <w:t>21    </w:t>
      </w:r>
      <w:r w:rsidRPr="00F31610">
        <w:rPr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sectPr w:rsidR="006430AC" w:rsidRPr="00F31610" w:rsidSect="00891FD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AC" w:rsidRDefault="006430AC" w:rsidP="00B16CC7">
      <w:r>
        <w:separator/>
      </w:r>
    </w:p>
  </w:endnote>
  <w:endnote w:type="continuationSeparator" w:id="0">
    <w:p w:rsidR="006430AC" w:rsidRDefault="006430AC" w:rsidP="00B1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AC" w:rsidRDefault="006430AC" w:rsidP="00B16CC7">
    <w:pPr>
      <w:pStyle w:val="Footer"/>
      <w:jc w:val="right"/>
    </w:pPr>
    <w:fldSimple w:instr="PAGE">
      <w:r>
        <w:rPr>
          <w:noProof/>
        </w:rPr>
        <w:t>6</w:t>
      </w:r>
    </w:fldSimple>
    <w:r>
      <w:t>/</w:t>
    </w:r>
    <w:fldSimple w:instr="NUMPAGES">
      <w:r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AC" w:rsidRDefault="006430AC" w:rsidP="00B16CC7">
      <w:r>
        <w:separator/>
      </w:r>
    </w:p>
  </w:footnote>
  <w:footnote w:type="continuationSeparator" w:id="0">
    <w:p w:rsidR="006430AC" w:rsidRDefault="006430AC" w:rsidP="00B16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">
    <w:nsid w:val="0E8C43FD"/>
    <w:multiLevelType w:val="hybridMultilevel"/>
    <w:tmpl w:val="0840D3B4"/>
    <w:lvl w:ilvl="0" w:tplc="690C7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50562"/>
    <w:multiLevelType w:val="hybridMultilevel"/>
    <w:tmpl w:val="4B22B0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57923"/>
    <w:multiLevelType w:val="hybridMultilevel"/>
    <w:tmpl w:val="2BEEC0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6F6701"/>
    <w:multiLevelType w:val="hybridMultilevel"/>
    <w:tmpl w:val="D1D6A5FE"/>
    <w:lvl w:ilvl="0" w:tplc="CA60725E">
      <w:start w:val="1"/>
      <w:numFmt w:val="bullet"/>
      <w:lvlText w:val="–"/>
      <w:lvlJc w:val="left"/>
      <w:pPr>
        <w:ind w:left="121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5">
    <w:nsid w:val="4F6B1442"/>
    <w:multiLevelType w:val="hybridMultilevel"/>
    <w:tmpl w:val="99409A2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5274A"/>
    <w:multiLevelType w:val="multilevel"/>
    <w:tmpl w:val="D0E4581C"/>
    <w:lvl w:ilvl="0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2" w:hanging="420"/>
      </w:pPr>
      <w:rPr>
        <w:rFonts w:eastAsia="Times New Roman" w:cs="Times New Roman" w:hint="default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eastAsia="Times New Roman" w:cs="Times New Roman" w:hint="default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862" w:hanging="720"/>
      </w:pPr>
      <w:rPr>
        <w:rFonts w:eastAsia="Times New Roman" w:cs="Times New Roman" w:hint="default"/>
        <w:color w:val="auto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2582" w:hanging="1080"/>
      </w:pPr>
      <w:rPr>
        <w:rFonts w:eastAsia="Times New Roman" w:cs="Times New Roman" w:hint="default"/>
        <w:color w:val="auto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ind w:left="2942" w:hanging="1080"/>
      </w:pPr>
      <w:rPr>
        <w:rFonts w:eastAsia="Times New Roman" w:cs="Times New Roman" w:hint="default"/>
        <w:color w:val="auto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ind w:left="3662" w:hanging="1440"/>
      </w:pPr>
      <w:rPr>
        <w:rFonts w:eastAsia="Times New Roman" w:cs="Times New Roman" w:hint="default"/>
        <w:color w:val="auto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ind w:left="4022" w:hanging="1440"/>
      </w:pPr>
      <w:rPr>
        <w:rFonts w:eastAsia="Times New Roman" w:cs="Times New Roman" w:hint="default"/>
        <w:color w:val="auto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ind w:left="4742" w:hanging="1800"/>
      </w:pPr>
      <w:rPr>
        <w:rFonts w:eastAsia="Times New Roman" w:cs="Times New Roman" w:hint="default"/>
        <w:color w:val="auto"/>
        <w:sz w:val="18"/>
        <w:szCs w:val="18"/>
      </w:rPr>
    </w:lvl>
  </w:abstractNum>
  <w:abstractNum w:abstractNumId="7">
    <w:nsid w:val="503B224B"/>
    <w:multiLevelType w:val="hybridMultilevel"/>
    <w:tmpl w:val="7E421CE6"/>
    <w:lvl w:ilvl="0" w:tplc="2AA2F108">
      <w:start w:val="3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51CB232B"/>
    <w:multiLevelType w:val="hybridMultilevel"/>
    <w:tmpl w:val="C5DC239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43EC6"/>
    <w:multiLevelType w:val="hybridMultilevel"/>
    <w:tmpl w:val="DCD0BD86"/>
    <w:lvl w:ilvl="0" w:tplc="040E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0">
    <w:nsid w:val="75550857"/>
    <w:multiLevelType w:val="hybridMultilevel"/>
    <w:tmpl w:val="41EC6D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99C"/>
    <w:rsid w:val="00003055"/>
    <w:rsid w:val="00006833"/>
    <w:rsid w:val="00006CF1"/>
    <w:rsid w:val="00023306"/>
    <w:rsid w:val="00034806"/>
    <w:rsid w:val="00036A56"/>
    <w:rsid w:val="00040A6D"/>
    <w:rsid w:val="00043B4B"/>
    <w:rsid w:val="000465FD"/>
    <w:rsid w:val="00052C49"/>
    <w:rsid w:val="0006307C"/>
    <w:rsid w:val="000778ED"/>
    <w:rsid w:val="00087B8D"/>
    <w:rsid w:val="0009227D"/>
    <w:rsid w:val="00095515"/>
    <w:rsid w:val="000B0574"/>
    <w:rsid w:val="000B2B75"/>
    <w:rsid w:val="000B7E8B"/>
    <w:rsid w:val="000C12C0"/>
    <w:rsid w:val="000C3765"/>
    <w:rsid w:val="000C757F"/>
    <w:rsid w:val="000D3BAA"/>
    <w:rsid w:val="000D50BD"/>
    <w:rsid w:val="000D5EAD"/>
    <w:rsid w:val="000E462F"/>
    <w:rsid w:val="000F14B7"/>
    <w:rsid w:val="000F6D29"/>
    <w:rsid w:val="001127E6"/>
    <w:rsid w:val="0012491E"/>
    <w:rsid w:val="00145F2F"/>
    <w:rsid w:val="001469BF"/>
    <w:rsid w:val="00154981"/>
    <w:rsid w:val="001562E2"/>
    <w:rsid w:val="001712DD"/>
    <w:rsid w:val="00173713"/>
    <w:rsid w:val="0018117E"/>
    <w:rsid w:val="001815AB"/>
    <w:rsid w:val="00183F85"/>
    <w:rsid w:val="001840EA"/>
    <w:rsid w:val="001977C3"/>
    <w:rsid w:val="001E273D"/>
    <w:rsid w:val="001F167A"/>
    <w:rsid w:val="001F4255"/>
    <w:rsid w:val="00206A36"/>
    <w:rsid w:val="00220BEA"/>
    <w:rsid w:val="00226BCB"/>
    <w:rsid w:val="00242E53"/>
    <w:rsid w:val="00245DE1"/>
    <w:rsid w:val="0025195D"/>
    <w:rsid w:val="00252926"/>
    <w:rsid w:val="002569D8"/>
    <w:rsid w:val="00265B8E"/>
    <w:rsid w:val="002670BE"/>
    <w:rsid w:val="00275E11"/>
    <w:rsid w:val="002838EF"/>
    <w:rsid w:val="0028702F"/>
    <w:rsid w:val="00287730"/>
    <w:rsid w:val="002A07D3"/>
    <w:rsid w:val="002B04C5"/>
    <w:rsid w:val="002B3FC8"/>
    <w:rsid w:val="002B603C"/>
    <w:rsid w:val="002C5293"/>
    <w:rsid w:val="002D0689"/>
    <w:rsid w:val="002F4F8F"/>
    <w:rsid w:val="002F5F24"/>
    <w:rsid w:val="00336A1A"/>
    <w:rsid w:val="00364844"/>
    <w:rsid w:val="00384EC1"/>
    <w:rsid w:val="00397081"/>
    <w:rsid w:val="003E603E"/>
    <w:rsid w:val="003E6A36"/>
    <w:rsid w:val="00400664"/>
    <w:rsid w:val="00402483"/>
    <w:rsid w:val="0042537D"/>
    <w:rsid w:val="004349C0"/>
    <w:rsid w:val="0045124B"/>
    <w:rsid w:val="004558CE"/>
    <w:rsid w:val="00456184"/>
    <w:rsid w:val="0046064E"/>
    <w:rsid w:val="004A29D8"/>
    <w:rsid w:val="004A7664"/>
    <w:rsid w:val="004B3711"/>
    <w:rsid w:val="004C642A"/>
    <w:rsid w:val="004E55C1"/>
    <w:rsid w:val="00506BAF"/>
    <w:rsid w:val="0051293D"/>
    <w:rsid w:val="00516DA2"/>
    <w:rsid w:val="00520044"/>
    <w:rsid w:val="005271DC"/>
    <w:rsid w:val="00553F4F"/>
    <w:rsid w:val="00565B38"/>
    <w:rsid w:val="005729D1"/>
    <w:rsid w:val="005830B0"/>
    <w:rsid w:val="005C45F7"/>
    <w:rsid w:val="005D18AF"/>
    <w:rsid w:val="005E11DF"/>
    <w:rsid w:val="00632AA0"/>
    <w:rsid w:val="0063499C"/>
    <w:rsid w:val="00635DD4"/>
    <w:rsid w:val="006430AC"/>
    <w:rsid w:val="00645880"/>
    <w:rsid w:val="0065030C"/>
    <w:rsid w:val="006512C7"/>
    <w:rsid w:val="0066150A"/>
    <w:rsid w:val="00661ED2"/>
    <w:rsid w:val="006810A5"/>
    <w:rsid w:val="006950FB"/>
    <w:rsid w:val="006E142E"/>
    <w:rsid w:val="006E427B"/>
    <w:rsid w:val="006F548E"/>
    <w:rsid w:val="00717FD0"/>
    <w:rsid w:val="0073131A"/>
    <w:rsid w:val="00737F99"/>
    <w:rsid w:val="00744E7D"/>
    <w:rsid w:val="0076104B"/>
    <w:rsid w:val="00771F27"/>
    <w:rsid w:val="00784C88"/>
    <w:rsid w:val="007A6FAB"/>
    <w:rsid w:val="007C3BEC"/>
    <w:rsid w:val="007E1CE7"/>
    <w:rsid w:val="007F7494"/>
    <w:rsid w:val="00804A68"/>
    <w:rsid w:val="008163AC"/>
    <w:rsid w:val="00822EA5"/>
    <w:rsid w:val="00867BB5"/>
    <w:rsid w:val="00891FDE"/>
    <w:rsid w:val="00892A39"/>
    <w:rsid w:val="008A28B0"/>
    <w:rsid w:val="008D20FC"/>
    <w:rsid w:val="008E789B"/>
    <w:rsid w:val="008F001A"/>
    <w:rsid w:val="008F1AEF"/>
    <w:rsid w:val="008F4753"/>
    <w:rsid w:val="009008B5"/>
    <w:rsid w:val="00904282"/>
    <w:rsid w:val="0090587D"/>
    <w:rsid w:val="009076DD"/>
    <w:rsid w:val="00913DCD"/>
    <w:rsid w:val="009255E5"/>
    <w:rsid w:val="00930D14"/>
    <w:rsid w:val="0093398C"/>
    <w:rsid w:val="00937258"/>
    <w:rsid w:val="009513C3"/>
    <w:rsid w:val="009560FD"/>
    <w:rsid w:val="00965437"/>
    <w:rsid w:val="0097444E"/>
    <w:rsid w:val="00975453"/>
    <w:rsid w:val="009A35C4"/>
    <w:rsid w:val="009A6C73"/>
    <w:rsid w:val="009B1352"/>
    <w:rsid w:val="009B62C9"/>
    <w:rsid w:val="009C2677"/>
    <w:rsid w:val="009C3530"/>
    <w:rsid w:val="009C60AE"/>
    <w:rsid w:val="009C7745"/>
    <w:rsid w:val="009C7B0B"/>
    <w:rsid w:val="009D0FC3"/>
    <w:rsid w:val="009D220F"/>
    <w:rsid w:val="009D5AC0"/>
    <w:rsid w:val="009E19A6"/>
    <w:rsid w:val="00A01138"/>
    <w:rsid w:val="00A015DB"/>
    <w:rsid w:val="00A05A3C"/>
    <w:rsid w:val="00A10CDD"/>
    <w:rsid w:val="00A14EE9"/>
    <w:rsid w:val="00A165A1"/>
    <w:rsid w:val="00A253CE"/>
    <w:rsid w:val="00A2599A"/>
    <w:rsid w:val="00A338BC"/>
    <w:rsid w:val="00A47CEE"/>
    <w:rsid w:val="00A55D45"/>
    <w:rsid w:val="00A56F46"/>
    <w:rsid w:val="00A578DC"/>
    <w:rsid w:val="00A60527"/>
    <w:rsid w:val="00A81B5E"/>
    <w:rsid w:val="00A83882"/>
    <w:rsid w:val="00A90506"/>
    <w:rsid w:val="00A92B1B"/>
    <w:rsid w:val="00AA121C"/>
    <w:rsid w:val="00AA1A29"/>
    <w:rsid w:val="00AC495C"/>
    <w:rsid w:val="00AE0719"/>
    <w:rsid w:val="00AE084A"/>
    <w:rsid w:val="00AE1272"/>
    <w:rsid w:val="00AE5B21"/>
    <w:rsid w:val="00AE5FB5"/>
    <w:rsid w:val="00AF4AF4"/>
    <w:rsid w:val="00B01F5C"/>
    <w:rsid w:val="00B10A76"/>
    <w:rsid w:val="00B16CC7"/>
    <w:rsid w:val="00B17AF9"/>
    <w:rsid w:val="00B17D92"/>
    <w:rsid w:val="00B322E2"/>
    <w:rsid w:val="00B3410C"/>
    <w:rsid w:val="00B41493"/>
    <w:rsid w:val="00B55925"/>
    <w:rsid w:val="00B6227D"/>
    <w:rsid w:val="00B65F02"/>
    <w:rsid w:val="00B723E8"/>
    <w:rsid w:val="00B82571"/>
    <w:rsid w:val="00B87413"/>
    <w:rsid w:val="00BB5797"/>
    <w:rsid w:val="00BB59FD"/>
    <w:rsid w:val="00BC3D56"/>
    <w:rsid w:val="00BC64BD"/>
    <w:rsid w:val="00BD264E"/>
    <w:rsid w:val="00BF0B81"/>
    <w:rsid w:val="00BF1C23"/>
    <w:rsid w:val="00BF28AA"/>
    <w:rsid w:val="00C032E2"/>
    <w:rsid w:val="00C04ABB"/>
    <w:rsid w:val="00C0605D"/>
    <w:rsid w:val="00C11EEB"/>
    <w:rsid w:val="00C20129"/>
    <w:rsid w:val="00C40DEC"/>
    <w:rsid w:val="00C5017E"/>
    <w:rsid w:val="00C55010"/>
    <w:rsid w:val="00C8712E"/>
    <w:rsid w:val="00CA11B6"/>
    <w:rsid w:val="00CA26FE"/>
    <w:rsid w:val="00CB5967"/>
    <w:rsid w:val="00CB7493"/>
    <w:rsid w:val="00CC09B2"/>
    <w:rsid w:val="00CD0346"/>
    <w:rsid w:val="00CD074A"/>
    <w:rsid w:val="00CE2701"/>
    <w:rsid w:val="00CE6B12"/>
    <w:rsid w:val="00CF76D1"/>
    <w:rsid w:val="00D07C95"/>
    <w:rsid w:val="00D30E5A"/>
    <w:rsid w:val="00D32253"/>
    <w:rsid w:val="00D37782"/>
    <w:rsid w:val="00D41192"/>
    <w:rsid w:val="00D52770"/>
    <w:rsid w:val="00D57B8B"/>
    <w:rsid w:val="00D61591"/>
    <w:rsid w:val="00D61A7A"/>
    <w:rsid w:val="00D6250A"/>
    <w:rsid w:val="00D8678F"/>
    <w:rsid w:val="00D91478"/>
    <w:rsid w:val="00D94C11"/>
    <w:rsid w:val="00D9687F"/>
    <w:rsid w:val="00DA766D"/>
    <w:rsid w:val="00DC22EB"/>
    <w:rsid w:val="00DC254F"/>
    <w:rsid w:val="00DC29A0"/>
    <w:rsid w:val="00DC6F7C"/>
    <w:rsid w:val="00DE1BE2"/>
    <w:rsid w:val="00DE2573"/>
    <w:rsid w:val="00DF337D"/>
    <w:rsid w:val="00DF3809"/>
    <w:rsid w:val="00E03A23"/>
    <w:rsid w:val="00E10611"/>
    <w:rsid w:val="00E11CF2"/>
    <w:rsid w:val="00E16751"/>
    <w:rsid w:val="00E222C0"/>
    <w:rsid w:val="00E334E7"/>
    <w:rsid w:val="00E34EF4"/>
    <w:rsid w:val="00E35A52"/>
    <w:rsid w:val="00E43CD6"/>
    <w:rsid w:val="00E44E5F"/>
    <w:rsid w:val="00E50AA6"/>
    <w:rsid w:val="00E542E1"/>
    <w:rsid w:val="00E6118F"/>
    <w:rsid w:val="00E71D70"/>
    <w:rsid w:val="00E73569"/>
    <w:rsid w:val="00E75811"/>
    <w:rsid w:val="00E76054"/>
    <w:rsid w:val="00E856FD"/>
    <w:rsid w:val="00E905FE"/>
    <w:rsid w:val="00E93E13"/>
    <w:rsid w:val="00EA3492"/>
    <w:rsid w:val="00EB038C"/>
    <w:rsid w:val="00EB35D1"/>
    <w:rsid w:val="00EB66DC"/>
    <w:rsid w:val="00ED254F"/>
    <w:rsid w:val="00EE3111"/>
    <w:rsid w:val="00EE5D40"/>
    <w:rsid w:val="00F043CD"/>
    <w:rsid w:val="00F07419"/>
    <w:rsid w:val="00F2019A"/>
    <w:rsid w:val="00F30FDC"/>
    <w:rsid w:val="00F31610"/>
    <w:rsid w:val="00F32D37"/>
    <w:rsid w:val="00F40A09"/>
    <w:rsid w:val="00F45C55"/>
    <w:rsid w:val="00F55A8D"/>
    <w:rsid w:val="00F625CF"/>
    <w:rsid w:val="00F64EB3"/>
    <w:rsid w:val="00F70E57"/>
    <w:rsid w:val="00F91098"/>
    <w:rsid w:val="00F92025"/>
    <w:rsid w:val="00F96E17"/>
    <w:rsid w:val="00F97457"/>
    <w:rsid w:val="00FA5B00"/>
    <w:rsid w:val="00FB73C1"/>
    <w:rsid w:val="00FC5FD6"/>
    <w:rsid w:val="00FD766D"/>
    <w:rsid w:val="00FE3842"/>
    <w:rsid w:val="00FF0F37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9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al"/>
    <w:uiPriority w:val="99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yperlink">
    <w:name w:val="Hyperlink"/>
    <w:basedOn w:val="DefaultParagraphFont"/>
    <w:uiPriority w:val="99"/>
    <w:rsid w:val="002B3FC8"/>
    <w:rPr>
      <w:rFonts w:cs="Times New Roman"/>
      <w:color w:val="auto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8773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E334E7"/>
    <w:rPr>
      <w:rFonts w:cs="Times New Roman"/>
    </w:rPr>
  </w:style>
  <w:style w:type="paragraph" w:customStyle="1" w:styleId="Norml-1">
    <w:name w:val="Normál-1"/>
    <w:basedOn w:val="Normal"/>
    <w:uiPriority w:val="99"/>
    <w:rsid w:val="00043B4B"/>
    <w:rPr>
      <w:rFonts w:eastAsia="Times New Roman"/>
      <w:lang w:eastAsia="hu-HU"/>
    </w:rPr>
  </w:style>
  <w:style w:type="character" w:customStyle="1" w:styleId="ListParagraphChar">
    <w:name w:val="List Paragraph Char"/>
    <w:link w:val="ListParagraph"/>
    <w:uiPriority w:val="99"/>
    <w:locked/>
    <w:rsid w:val="00095515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16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C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6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C7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A5B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5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5B0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5B00"/>
    <w:rPr>
      <w:b/>
      <w:bCs/>
    </w:rPr>
  </w:style>
  <w:style w:type="paragraph" w:styleId="Revision">
    <w:name w:val="Revision"/>
    <w:hidden/>
    <w:uiPriority w:val="99"/>
    <w:semiHidden/>
    <w:rsid w:val="00E35A5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c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irc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tkarsag@veszprembe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chstedter.livia@veszpremb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20</Pages>
  <Words>6015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aberethalmi</dc:creator>
  <cp:keywords/>
  <dc:description/>
  <cp:lastModifiedBy>oem</cp:lastModifiedBy>
  <cp:revision>3</cp:revision>
  <cp:lastPrinted>2016-10-27T13:52:00Z</cp:lastPrinted>
  <dcterms:created xsi:type="dcterms:W3CDTF">2016-10-27T13:45:00Z</dcterms:created>
  <dcterms:modified xsi:type="dcterms:W3CDTF">2016-10-27T13:52:00Z</dcterms:modified>
</cp:coreProperties>
</file>